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C68" w:rsidRPr="00763FC0" w:rsidRDefault="00FC0C68" w:rsidP="00FC0C68">
      <w:pPr>
        <w:pStyle w:val="Default"/>
      </w:pPr>
      <w:r w:rsidRPr="00763FC0">
        <w:rPr>
          <w:b/>
          <w:bCs/>
        </w:rPr>
        <w:t xml:space="preserve">Vouchers Do Not Improve Student </w:t>
      </w:r>
      <w:r w:rsidR="00BD1F93" w:rsidRPr="00763FC0">
        <w:rPr>
          <w:b/>
          <w:bCs/>
        </w:rPr>
        <w:t>Achievement</w:t>
      </w:r>
      <w:r w:rsidR="00FE6191" w:rsidRPr="00763FC0">
        <w:rPr>
          <w:b/>
          <w:bCs/>
        </w:rPr>
        <w:t>: Research Summary</w:t>
      </w:r>
    </w:p>
    <w:p w:rsidR="00FE6191" w:rsidRPr="00763FC0" w:rsidRDefault="00FE6191" w:rsidP="00FE6191">
      <w:pPr>
        <w:pStyle w:val="Default"/>
        <w:spacing w:before="100" w:beforeAutospacing="1" w:after="100" w:afterAutospacing="1"/>
      </w:pPr>
      <w:r w:rsidRPr="00763FC0">
        <w:t>M</w:t>
      </w:r>
      <w:r w:rsidR="00FC0C68" w:rsidRPr="00763FC0">
        <w:t xml:space="preserve">ultiple studies </w:t>
      </w:r>
      <w:r w:rsidR="00BD1F93" w:rsidRPr="00763FC0">
        <w:t xml:space="preserve">analyzing </w:t>
      </w:r>
      <w:bookmarkStart w:id="0" w:name="_GoBack"/>
      <w:bookmarkEnd w:id="0"/>
      <w:r w:rsidRPr="00763FC0">
        <w:t xml:space="preserve">public and private school student test score </w:t>
      </w:r>
      <w:r w:rsidR="00BD1F93" w:rsidRPr="00763FC0">
        <w:t xml:space="preserve">data </w:t>
      </w:r>
      <w:r w:rsidRPr="00763FC0">
        <w:t>confirm that when test scores are weighted to reflect socioeconomic level, race, and disability, private schools offer no academic advantage</w:t>
      </w:r>
      <w:r w:rsidR="00FC0C68" w:rsidRPr="00763FC0">
        <w:t>.</w:t>
      </w:r>
      <w:r w:rsidR="008A3AB1" w:rsidRPr="00763FC0">
        <w:rPr>
          <w:rStyle w:val="EndnoteReference"/>
        </w:rPr>
        <w:endnoteReference w:id="1"/>
      </w:r>
      <w:r w:rsidR="00FC0C68" w:rsidRPr="00763FC0">
        <w:t xml:space="preserve"> </w:t>
      </w:r>
      <w:r w:rsidR="00667469" w:rsidRPr="00763FC0">
        <w:t>Evaluations of state voucher plans confirm this conclusion.</w:t>
      </w:r>
    </w:p>
    <w:p w:rsidR="00215977" w:rsidRPr="00763FC0" w:rsidRDefault="00110E3A" w:rsidP="00F814BC">
      <w:pPr>
        <w:pStyle w:val="ColorfulList-Accent11"/>
        <w:spacing w:after="120"/>
        <w:ind w:left="0"/>
        <w:contextualSpacing w:val="0"/>
        <w:rPr>
          <w:bCs/>
          <w:lang w:val="en"/>
        </w:rPr>
      </w:pPr>
      <w:r w:rsidRPr="00763FC0">
        <w:rPr>
          <w:b/>
          <w:bCs/>
          <w:lang w:val="en"/>
        </w:rPr>
        <w:t>Alabama</w:t>
      </w:r>
      <w:r w:rsidRPr="00763FC0">
        <w:rPr>
          <w:bCs/>
          <w:lang w:val="en"/>
        </w:rPr>
        <w:t xml:space="preserve"> </w:t>
      </w:r>
      <w:r w:rsidR="00602E5A" w:rsidRPr="00763FC0">
        <w:rPr>
          <w:bCs/>
          <w:lang w:val="en"/>
        </w:rPr>
        <w:tab/>
      </w:r>
      <w:r w:rsidRPr="00763FC0">
        <w:rPr>
          <w:bCs/>
          <w:lang w:val="en"/>
        </w:rPr>
        <w:t xml:space="preserve">The 2013 Alabama Accountability Act requires schools accepting voucher students to administer </w:t>
      </w:r>
      <w:r w:rsidR="00EB4B95">
        <w:rPr>
          <w:bCs/>
          <w:lang w:val="en"/>
        </w:rPr>
        <w:t xml:space="preserve">annually </w:t>
      </w:r>
      <w:r w:rsidRPr="00763FC0">
        <w:rPr>
          <w:bCs/>
          <w:lang w:val="en"/>
        </w:rPr>
        <w:t xml:space="preserve">either the state’s own standardized achievement test or a nationally recognized norm-referenced test that measures learning gains in math and language arts, in all grades that the state requires testing for public school students. Despite challenges presented by the lack of uniform testing data, and a limited sample size due to missing data, researchers at the University of Alabama found </w:t>
      </w:r>
      <w:r w:rsidR="00215977" w:rsidRPr="00763FC0">
        <w:rPr>
          <w:bCs/>
          <w:lang w:val="en"/>
        </w:rPr>
        <w:t>that voucher recipients:</w:t>
      </w:r>
    </w:p>
    <w:p w:rsidR="00110E3A" w:rsidRPr="00763FC0" w:rsidRDefault="00215977" w:rsidP="00215977">
      <w:pPr>
        <w:pStyle w:val="ColorfulList-Accent11"/>
        <w:numPr>
          <w:ilvl w:val="0"/>
          <w:numId w:val="5"/>
        </w:numPr>
        <w:spacing w:after="120"/>
        <w:contextualSpacing w:val="0"/>
        <w:rPr>
          <w:bCs/>
          <w:lang w:val="en"/>
        </w:rPr>
      </w:pPr>
      <w:r w:rsidRPr="00763FC0">
        <w:rPr>
          <w:bCs/>
          <w:lang w:val="en"/>
        </w:rPr>
        <w:t>Generally failed to meet proficiency benchmarks and performed below average on norm-referenced tests,</w:t>
      </w:r>
    </w:p>
    <w:p w:rsidR="00215977" w:rsidRPr="00763FC0" w:rsidRDefault="00215977" w:rsidP="00215977">
      <w:pPr>
        <w:pStyle w:val="ColorfulList-Accent11"/>
        <w:numPr>
          <w:ilvl w:val="0"/>
          <w:numId w:val="5"/>
        </w:numPr>
        <w:spacing w:after="120"/>
        <w:contextualSpacing w:val="0"/>
        <w:rPr>
          <w:bCs/>
          <w:lang w:val="en"/>
        </w:rPr>
      </w:pPr>
      <w:r w:rsidRPr="00763FC0">
        <w:rPr>
          <w:bCs/>
          <w:lang w:val="en"/>
        </w:rPr>
        <w:t>Performed about the same as their public school peers, and</w:t>
      </w:r>
    </w:p>
    <w:p w:rsidR="00215977" w:rsidRPr="00763FC0" w:rsidRDefault="00215977" w:rsidP="00215977">
      <w:pPr>
        <w:pStyle w:val="ColorfulList-Accent11"/>
        <w:numPr>
          <w:ilvl w:val="0"/>
          <w:numId w:val="5"/>
        </w:numPr>
        <w:spacing w:after="120"/>
        <w:contextualSpacing w:val="0"/>
        <w:rPr>
          <w:bCs/>
          <w:lang w:val="en"/>
        </w:rPr>
      </w:pPr>
      <w:r w:rsidRPr="00763FC0">
        <w:rPr>
          <w:bCs/>
          <w:lang w:val="en"/>
        </w:rPr>
        <w:t>Did not improve over time in the program.</w:t>
      </w:r>
    </w:p>
    <w:p w:rsidR="00602E5A" w:rsidRPr="00763FC0" w:rsidRDefault="00215977" w:rsidP="00215977">
      <w:pPr>
        <w:pStyle w:val="ColorfulList-Accent11"/>
        <w:spacing w:after="120"/>
        <w:ind w:left="0"/>
        <w:contextualSpacing w:val="0"/>
        <w:rPr>
          <w:bCs/>
          <w:lang w:val="en"/>
        </w:rPr>
      </w:pPr>
      <w:r w:rsidRPr="00763FC0">
        <w:rPr>
          <w:bCs/>
          <w:lang w:val="en"/>
        </w:rPr>
        <w:t>“[P]</w:t>
      </w:r>
      <w:proofErr w:type="spellStart"/>
      <w:r w:rsidRPr="00763FC0">
        <w:rPr>
          <w:bCs/>
          <w:lang w:val="en"/>
        </w:rPr>
        <w:t>articipating</w:t>
      </w:r>
      <w:proofErr w:type="spellEnd"/>
      <w:r w:rsidRPr="00763FC0">
        <w:rPr>
          <w:bCs/>
          <w:lang w:val="en"/>
        </w:rPr>
        <w:t xml:space="preserve"> in the scholarship program does not, on average, yield a significant improvement on standardized test scores. Generally, the number of years that a student participated in the scholarship program was not correlated with achievement performance.”</w:t>
      </w:r>
      <w:r w:rsidR="00602E5A" w:rsidRPr="00763FC0">
        <w:rPr>
          <w:rStyle w:val="EndnoteReference"/>
          <w:bCs/>
          <w:lang w:val="en"/>
        </w:rPr>
        <w:endnoteReference w:id="2"/>
      </w:r>
    </w:p>
    <w:p w:rsidR="00F814BC" w:rsidRPr="00763FC0" w:rsidRDefault="00F814BC" w:rsidP="00F814BC">
      <w:pPr>
        <w:pStyle w:val="ColorfulList-Accent11"/>
        <w:spacing w:after="120"/>
        <w:ind w:left="0"/>
        <w:contextualSpacing w:val="0"/>
        <w:rPr>
          <w:color w:val="000000"/>
        </w:rPr>
      </w:pPr>
      <w:r w:rsidRPr="00763FC0">
        <w:rPr>
          <w:b/>
          <w:bCs/>
          <w:lang w:val="en"/>
        </w:rPr>
        <w:t>District of Columbia</w:t>
      </w:r>
      <w:r w:rsidRPr="00763FC0">
        <w:rPr>
          <w:b/>
          <w:bCs/>
          <w:lang w:val="en"/>
        </w:rPr>
        <w:tab/>
      </w:r>
      <w:r w:rsidR="00602E5A" w:rsidRPr="00763FC0">
        <w:rPr>
          <w:b/>
          <w:bCs/>
          <w:lang w:val="en"/>
        </w:rPr>
        <w:tab/>
      </w:r>
      <w:r w:rsidR="00602E5A" w:rsidRPr="00763FC0">
        <w:rPr>
          <w:bCs/>
          <w:lang w:val="en"/>
        </w:rPr>
        <w:t>S</w:t>
      </w:r>
      <w:proofErr w:type="spellStart"/>
      <w:r w:rsidRPr="00763FC0">
        <w:t>tudies</w:t>
      </w:r>
      <w:proofErr w:type="spellEnd"/>
      <w:r w:rsidRPr="00763FC0">
        <w:t xml:space="preserve"> </w:t>
      </w:r>
      <w:r w:rsidR="00602E5A" w:rsidRPr="00763FC0">
        <w:t xml:space="preserve">analyzing </w:t>
      </w:r>
      <w:r w:rsidRPr="00763FC0">
        <w:t xml:space="preserve">the D.C. voucher program </w:t>
      </w:r>
      <w:r w:rsidR="00602E5A" w:rsidRPr="00763FC0">
        <w:t>consistently conclude that the program does not improve student achievement. Indeed, in 2017, researchers reported that</w:t>
      </w:r>
      <w:r w:rsidR="00EC0450" w:rsidRPr="00763FC0">
        <w:t xml:space="preserve"> students who </w:t>
      </w:r>
      <w:r w:rsidR="00ED0070" w:rsidRPr="00763FC0">
        <w:t xml:space="preserve">left public </w:t>
      </w:r>
      <w:r w:rsidR="00EC0450" w:rsidRPr="00763FC0">
        <w:t>school</w:t>
      </w:r>
      <w:r w:rsidR="00ED0070" w:rsidRPr="00763FC0">
        <w:t>s</w:t>
      </w:r>
      <w:r w:rsidR="00EC0450" w:rsidRPr="00763FC0">
        <w:t xml:space="preserve"> that had not been identified as low-performing experienced statistically significant lower achievement in math and reading </w:t>
      </w:r>
      <w:r w:rsidR="00ED0070" w:rsidRPr="00763FC0">
        <w:t>when they used a voucher to transfer to a private school. Elementary school students who used vouchers also experienced statistically significant negative impacts in reading and math. Voucher advocates often suggest that such declines are the result of disruption, and that achievement can be expected to improve after students fully transition to their new schools. Researchers controlled for that affect and found that there was “no statistically significant association between changing schools and student achievement.”</w:t>
      </w:r>
      <w:r w:rsidR="00172488" w:rsidRPr="00763FC0">
        <w:rPr>
          <w:rStyle w:val="EndnoteReference"/>
        </w:rPr>
        <w:endnoteReference w:id="3"/>
      </w:r>
    </w:p>
    <w:p w:rsidR="00F814BC" w:rsidRPr="00763FC0" w:rsidRDefault="00F814BC" w:rsidP="00F814BC">
      <w:pPr>
        <w:autoSpaceDE w:val="0"/>
        <w:autoSpaceDN w:val="0"/>
        <w:adjustRightInd w:val="0"/>
        <w:spacing w:after="0" w:line="240" w:lineRule="auto"/>
        <w:rPr>
          <w:rFonts w:ascii="Times New Roman" w:hAnsi="Times New Roman" w:cs="Times New Roman"/>
          <w:b/>
          <w:sz w:val="24"/>
          <w:szCs w:val="24"/>
        </w:rPr>
      </w:pPr>
      <w:r w:rsidRPr="00763FC0">
        <w:rPr>
          <w:rFonts w:ascii="Times New Roman" w:hAnsi="Times New Roman" w:cs="Times New Roman"/>
          <w:b/>
          <w:sz w:val="24"/>
          <w:szCs w:val="24"/>
        </w:rPr>
        <w:t>Florida</w:t>
      </w:r>
      <w:r w:rsidRPr="00763FC0">
        <w:rPr>
          <w:rFonts w:ascii="Times New Roman" w:hAnsi="Times New Roman" w:cs="Times New Roman"/>
          <w:b/>
          <w:sz w:val="24"/>
          <w:szCs w:val="24"/>
        </w:rPr>
        <w:tab/>
      </w:r>
    </w:p>
    <w:p w:rsidR="00F814BC" w:rsidRPr="00763FC0" w:rsidRDefault="00F814BC" w:rsidP="00F814BC">
      <w:pPr>
        <w:autoSpaceDE w:val="0"/>
        <w:autoSpaceDN w:val="0"/>
        <w:adjustRightInd w:val="0"/>
        <w:spacing w:after="0" w:line="240" w:lineRule="auto"/>
        <w:rPr>
          <w:rFonts w:ascii="Times New Roman" w:hAnsi="Times New Roman" w:cs="Times New Roman"/>
          <w:b/>
          <w:sz w:val="24"/>
          <w:szCs w:val="24"/>
        </w:rPr>
      </w:pPr>
    </w:p>
    <w:p w:rsidR="00F814BC" w:rsidRPr="00763FC0" w:rsidRDefault="00F814BC" w:rsidP="00F814BC">
      <w:pPr>
        <w:spacing w:after="0" w:line="240" w:lineRule="auto"/>
        <w:rPr>
          <w:rFonts w:ascii="Times New Roman" w:eastAsia="Times New Roman" w:hAnsi="Times New Roman" w:cs="Times New Roman"/>
          <w:sz w:val="24"/>
          <w:szCs w:val="24"/>
        </w:rPr>
      </w:pPr>
      <w:r w:rsidRPr="00763FC0">
        <w:rPr>
          <w:rFonts w:ascii="Times New Roman" w:eastAsia="Times New Roman" w:hAnsi="Times New Roman" w:cs="Times New Roman"/>
          <w:sz w:val="24"/>
          <w:szCs w:val="24"/>
        </w:rPr>
        <w:t xml:space="preserve">The state of Florida commissioned David </w:t>
      </w:r>
      <w:proofErr w:type="spellStart"/>
      <w:r w:rsidRPr="00763FC0">
        <w:rPr>
          <w:rFonts w:ascii="Times New Roman" w:eastAsia="Times New Roman" w:hAnsi="Times New Roman" w:cs="Times New Roman"/>
          <w:sz w:val="24"/>
          <w:szCs w:val="24"/>
        </w:rPr>
        <w:t>Figlio</w:t>
      </w:r>
      <w:proofErr w:type="spellEnd"/>
      <w:r w:rsidRPr="00763FC0">
        <w:rPr>
          <w:rFonts w:ascii="Times New Roman" w:eastAsia="Times New Roman" w:hAnsi="Times New Roman" w:cs="Times New Roman"/>
          <w:sz w:val="24"/>
          <w:szCs w:val="24"/>
        </w:rPr>
        <w:t>, a Faculty Fellow at the Institute of Policy Research, Northwestern University to conduct a five-year study to determine whether students perform better after transferring to private schools from low-performing public school, with the support of a tax credit voucher..</w:t>
      </w:r>
    </w:p>
    <w:p w:rsidR="00F814BC" w:rsidRPr="00763FC0" w:rsidRDefault="00F814BC" w:rsidP="00F814BC">
      <w:pPr>
        <w:autoSpaceDE w:val="0"/>
        <w:autoSpaceDN w:val="0"/>
        <w:adjustRightInd w:val="0"/>
        <w:spacing w:after="0" w:line="240" w:lineRule="auto"/>
        <w:rPr>
          <w:rFonts w:ascii="Times New Roman" w:hAnsi="Times New Roman" w:cs="Times New Roman"/>
          <w:sz w:val="24"/>
          <w:szCs w:val="24"/>
        </w:rPr>
      </w:pPr>
    </w:p>
    <w:p w:rsidR="00F814BC" w:rsidRPr="00763FC0" w:rsidRDefault="00F814BC" w:rsidP="00F814BC">
      <w:pPr>
        <w:autoSpaceDE w:val="0"/>
        <w:autoSpaceDN w:val="0"/>
        <w:adjustRightInd w:val="0"/>
        <w:spacing w:after="0" w:line="240" w:lineRule="auto"/>
        <w:rPr>
          <w:rFonts w:ascii="Times New Roman" w:hAnsi="Times New Roman" w:cs="Times New Roman"/>
          <w:sz w:val="24"/>
          <w:szCs w:val="24"/>
        </w:rPr>
      </w:pPr>
      <w:proofErr w:type="spellStart"/>
      <w:r w:rsidRPr="00763FC0">
        <w:rPr>
          <w:rFonts w:ascii="Times New Roman" w:hAnsi="Times New Roman" w:cs="Times New Roman"/>
          <w:sz w:val="24"/>
          <w:szCs w:val="24"/>
        </w:rPr>
        <w:t>Figlio</w:t>
      </w:r>
      <w:proofErr w:type="spellEnd"/>
      <w:r w:rsidRPr="00763FC0">
        <w:rPr>
          <w:rFonts w:ascii="Times New Roman" w:hAnsi="Times New Roman" w:cs="Times New Roman"/>
          <w:sz w:val="24"/>
          <w:szCs w:val="24"/>
        </w:rPr>
        <w:t xml:space="preserve"> found that the gain scores for voucher students were virtually identical to those of income-eligible non-participants who remained in public schools. </w:t>
      </w:r>
      <w:r w:rsidRPr="00763FC0">
        <w:rPr>
          <w:rStyle w:val="EndnoteReference"/>
          <w:rFonts w:ascii="Times New Roman" w:hAnsi="Times New Roman" w:cs="Times New Roman"/>
          <w:sz w:val="24"/>
          <w:szCs w:val="24"/>
        </w:rPr>
        <w:endnoteReference w:id="4"/>
      </w:r>
      <w:r w:rsidRPr="00763FC0">
        <w:rPr>
          <w:rFonts w:ascii="Times New Roman" w:hAnsi="Times New Roman" w:cs="Times New Roman"/>
          <w:sz w:val="24"/>
          <w:szCs w:val="24"/>
          <w:highlight w:val="yellow"/>
        </w:rPr>
        <w:t xml:space="preserve"> </w:t>
      </w:r>
    </w:p>
    <w:p w:rsidR="00F814BC" w:rsidRPr="00763FC0" w:rsidRDefault="00F814BC" w:rsidP="00F814BC">
      <w:pPr>
        <w:autoSpaceDE w:val="0"/>
        <w:autoSpaceDN w:val="0"/>
        <w:adjustRightInd w:val="0"/>
        <w:spacing w:after="0" w:line="240" w:lineRule="auto"/>
        <w:rPr>
          <w:rFonts w:ascii="Times New Roman" w:hAnsi="Times New Roman" w:cs="Times New Roman"/>
          <w:sz w:val="24"/>
          <w:szCs w:val="24"/>
        </w:rPr>
      </w:pPr>
    </w:p>
    <w:p w:rsidR="00F814BC" w:rsidRPr="00763FC0" w:rsidRDefault="00F814BC" w:rsidP="00F814BC">
      <w:pPr>
        <w:autoSpaceDE w:val="0"/>
        <w:autoSpaceDN w:val="0"/>
        <w:adjustRightInd w:val="0"/>
        <w:spacing w:after="0" w:line="240" w:lineRule="auto"/>
        <w:rPr>
          <w:rFonts w:ascii="Times New Roman" w:hAnsi="Times New Roman" w:cs="Times New Roman"/>
          <w:sz w:val="24"/>
          <w:szCs w:val="24"/>
        </w:rPr>
      </w:pPr>
      <w:r w:rsidRPr="00763FC0">
        <w:rPr>
          <w:rFonts w:ascii="Times New Roman" w:hAnsi="Times New Roman" w:cs="Times New Roman"/>
          <w:sz w:val="24"/>
          <w:szCs w:val="24"/>
        </w:rPr>
        <w:t xml:space="preserve">Although </w:t>
      </w:r>
      <w:proofErr w:type="spellStart"/>
      <w:r w:rsidRPr="00763FC0">
        <w:rPr>
          <w:rFonts w:ascii="Times New Roman" w:hAnsi="Times New Roman" w:cs="Times New Roman"/>
          <w:sz w:val="24"/>
          <w:szCs w:val="24"/>
        </w:rPr>
        <w:t>Figlio</w:t>
      </w:r>
      <w:proofErr w:type="spellEnd"/>
      <w:r w:rsidRPr="00763FC0">
        <w:rPr>
          <w:rFonts w:ascii="Times New Roman" w:hAnsi="Times New Roman" w:cs="Times New Roman"/>
          <w:sz w:val="24"/>
          <w:szCs w:val="24"/>
        </w:rPr>
        <w:t xml:space="preserve"> suggests that the program improved the performance of Florida </w:t>
      </w:r>
      <w:r w:rsidRPr="00763FC0">
        <w:rPr>
          <w:rFonts w:ascii="Times New Roman" w:hAnsi="Times New Roman" w:cs="Times New Roman"/>
          <w:i/>
          <w:sz w:val="24"/>
          <w:szCs w:val="24"/>
        </w:rPr>
        <w:t>public</w:t>
      </w:r>
      <w:r w:rsidRPr="00763FC0">
        <w:rPr>
          <w:rFonts w:ascii="Times New Roman" w:hAnsi="Times New Roman" w:cs="Times New Roman"/>
          <w:sz w:val="24"/>
          <w:szCs w:val="24"/>
        </w:rPr>
        <w:t xml:space="preserve"> schools, any such improvement could also be explained by a variety of other variables, including the transfer of low-performing students from those schools, and/or targeted remedial programs.</w:t>
      </w:r>
    </w:p>
    <w:p w:rsidR="00F814BC" w:rsidRPr="00763FC0" w:rsidRDefault="00F814BC" w:rsidP="00F814BC">
      <w:pPr>
        <w:autoSpaceDE w:val="0"/>
        <w:autoSpaceDN w:val="0"/>
        <w:adjustRightInd w:val="0"/>
        <w:spacing w:after="0" w:line="240" w:lineRule="auto"/>
        <w:rPr>
          <w:rFonts w:ascii="Times New Roman" w:hAnsi="Times New Roman" w:cs="Times New Roman"/>
          <w:sz w:val="24"/>
          <w:szCs w:val="24"/>
        </w:rPr>
      </w:pPr>
    </w:p>
    <w:p w:rsidR="00F814BC" w:rsidRPr="00763FC0" w:rsidRDefault="00F814BC" w:rsidP="00F814BC">
      <w:pPr>
        <w:pStyle w:val="Default"/>
        <w:spacing w:before="100" w:beforeAutospacing="1" w:after="100" w:afterAutospacing="1"/>
      </w:pPr>
      <w:r w:rsidRPr="00763FC0">
        <w:rPr>
          <w:b/>
        </w:rPr>
        <w:lastRenderedPageBreak/>
        <w:t>Indiana</w:t>
      </w:r>
      <w:r w:rsidRPr="00763FC0">
        <w:rPr>
          <w:b/>
        </w:rPr>
        <w:tab/>
      </w:r>
    </w:p>
    <w:p w:rsidR="00F814BC" w:rsidRPr="00763FC0" w:rsidRDefault="00F814BC" w:rsidP="00F814BC">
      <w:pPr>
        <w:pStyle w:val="Default"/>
        <w:spacing w:before="100" w:beforeAutospacing="1" w:after="100" w:afterAutospacing="1"/>
        <w:rPr>
          <w:color w:val="auto"/>
        </w:rPr>
      </w:pPr>
      <w:r w:rsidRPr="00763FC0">
        <w:rPr>
          <w:color w:val="auto"/>
        </w:rPr>
        <w:t xml:space="preserve">A longitudinal analysis of </w:t>
      </w:r>
      <w:r w:rsidR="00617EF2">
        <w:rPr>
          <w:color w:val="auto"/>
        </w:rPr>
        <w:t xml:space="preserve">six </w:t>
      </w:r>
      <w:r w:rsidRPr="00763FC0">
        <w:rPr>
          <w:color w:val="auto"/>
        </w:rPr>
        <w:t>years’ worth of student data from the Indiana Choice Scholarship Program (ICSP), found that</w:t>
      </w:r>
      <w:r w:rsidR="00617EF2">
        <w:rPr>
          <w:color w:val="auto"/>
        </w:rPr>
        <w:t xml:space="preserve"> voucher students “had substantial average achievement loss” in mathematics, and these losses remained entrenched over time.</w:t>
      </w:r>
      <w:r w:rsidR="00E12570">
        <w:rPr>
          <w:color w:val="auto"/>
        </w:rPr>
        <w:t xml:space="preserve"> English scores were not statistically different.</w:t>
      </w:r>
      <w:r w:rsidR="00617EF2" w:rsidRPr="00617EF2">
        <w:rPr>
          <w:rStyle w:val="EndnoteReference"/>
          <w:color w:val="auto"/>
        </w:rPr>
        <w:t xml:space="preserve"> </w:t>
      </w:r>
      <w:r w:rsidR="00617EF2">
        <w:rPr>
          <w:rStyle w:val="EndnoteReference"/>
          <w:color w:val="auto"/>
        </w:rPr>
        <w:endnoteReference w:id="5"/>
      </w:r>
      <w:r w:rsidR="00617EF2">
        <w:rPr>
          <w:color w:val="auto"/>
        </w:rPr>
        <w:t xml:space="preserve"> An earlier study looking at three years’ worth of data found that </w:t>
      </w:r>
      <w:r w:rsidRPr="00763FC0">
        <w:rPr>
          <w:color w:val="auto"/>
        </w:rPr>
        <w:t>“voucher students who transfer to private schools experience significant losses in mathematics achievement”, and no gains in English/language arts, despite better attendance records once enrolled in private schools.</w:t>
      </w:r>
      <w:r w:rsidRPr="00763FC0">
        <w:rPr>
          <w:rStyle w:val="EndnoteReference"/>
          <w:color w:val="auto"/>
        </w:rPr>
        <w:endnoteReference w:id="6"/>
      </w:r>
    </w:p>
    <w:p w:rsidR="00F814BC" w:rsidRPr="00763FC0" w:rsidRDefault="00F814BC" w:rsidP="00F814BC">
      <w:pPr>
        <w:spacing w:after="120" w:line="240" w:lineRule="auto"/>
        <w:rPr>
          <w:rFonts w:ascii="Times New Roman" w:hAnsi="Times New Roman" w:cs="Times New Roman"/>
          <w:b/>
          <w:sz w:val="24"/>
          <w:szCs w:val="24"/>
        </w:rPr>
      </w:pPr>
      <w:r w:rsidRPr="00763FC0">
        <w:rPr>
          <w:rFonts w:ascii="Times New Roman" w:hAnsi="Times New Roman" w:cs="Times New Roman"/>
          <w:b/>
          <w:sz w:val="24"/>
          <w:szCs w:val="24"/>
        </w:rPr>
        <w:t>Louisiana</w:t>
      </w:r>
      <w:r w:rsidRPr="00763FC0">
        <w:rPr>
          <w:rFonts w:ascii="Times New Roman" w:hAnsi="Times New Roman" w:cs="Times New Roman"/>
          <w:b/>
          <w:sz w:val="24"/>
          <w:szCs w:val="24"/>
        </w:rPr>
        <w:tab/>
      </w:r>
    </w:p>
    <w:p w:rsidR="00F814BC" w:rsidRPr="00763FC0" w:rsidRDefault="00F814BC" w:rsidP="00F814BC">
      <w:pPr>
        <w:spacing w:after="120" w:line="240" w:lineRule="auto"/>
        <w:rPr>
          <w:rFonts w:ascii="Times New Roman" w:hAnsi="Times New Roman" w:cs="Times New Roman"/>
          <w:sz w:val="24"/>
          <w:szCs w:val="24"/>
        </w:rPr>
      </w:pPr>
      <w:r w:rsidRPr="00763FC0">
        <w:rPr>
          <w:rFonts w:ascii="Times New Roman" w:hAnsi="Times New Roman" w:cs="Times New Roman"/>
          <w:sz w:val="24"/>
          <w:szCs w:val="24"/>
        </w:rPr>
        <w:t>Vouchers have consistently been proven academically ineffective in Louisiana. In 2010, when vouchers were available only to students in New Orleans, voucher students were less likely than public school students to score proficient in reading or in math.</w:t>
      </w:r>
      <w:r w:rsidRPr="00763FC0">
        <w:rPr>
          <w:rStyle w:val="EndnoteReference"/>
          <w:rFonts w:ascii="Times New Roman" w:hAnsi="Times New Roman" w:cs="Times New Roman"/>
          <w:sz w:val="24"/>
          <w:szCs w:val="24"/>
        </w:rPr>
        <w:endnoteReference w:id="7"/>
      </w:r>
      <w:r w:rsidRPr="00763FC0">
        <w:rPr>
          <w:rFonts w:ascii="Times New Roman" w:hAnsi="Times New Roman" w:cs="Times New Roman"/>
          <w:sz w:val="24"/>
          <w:szCs w:val="24"/>
        </w:rPr>
        <w:t xml:space="preserve"> </w:t>
      </w:r>
      <w:r w:rsidR="00EB4B95" w:rsidRPr="00763FC0">
        <w:rPr>
          <w:rFonts w:ascii="Times New Roman" w:hAnsi="Times New Roman" w:cs="Times New Roman"/>
          <w:sz w:val="24"/>
          <w:szCs w:val="24"/>
        </w:rPr>
        <w:t>Likewise,</w:t>
      </w:r>
      <w:r w:rsidRPr="00763FC0">
        <w:rPr>
          <w:rFonts w:ascii="Times New Roman" w:hAnsi="Times New Roman" w:cs="Times New Roman"/>
          <w:sz w:val="24"/>
          <w:szCs w:val="24"/>
        </w:rPr>
        <w:t xml:space="preserve"> in 2013, the cumulative proficiency rating for voucher schools was 41%. Only eight schools scored 75% or higher.</w:t>
      </w:r>
      <w:r w:rsidRPr="00763FC0">
        <w:rPr>
          <w:rStyle w:val="EndnoteReference"/>
          <w:rFonts w:ascii="Times New Roman" w:hAnsi="Times New Roman" w:cs="Times New Roman"/>
          <w:sz w:val="24"/>
          <w:szCs w:val="24"/>
        </w:rPr>
        <w:endnoteReference w:id="8"/>
      </w:r>
      <w:r w:rsidRPr="00763FC0">
        <w:rPr>
          <w:rFonts w:ascii="Times New Roman" w:hAnsi="Times New Roman" w:cs="Times New Roman"/>
          <w:sz w:val="24"/>
          <w:szCs w:val="24"/>
        </w:rPr>
        <w:t xml:space="preserve"> In 2014, only 44 percent of the voucher students who took the Louisiana state tests passed them, compared to 69 percent of public school students.</w:t>
      </w:r>
      <w:r w:rsidRPr="00763FC0">
        <w:rPr>
          <w:rStyle w:val="EndnoteReference"/>
          <w:rFonts w:ascii="Times New Roman" w:hAnsi="Times New Roman" w:cs="Times New Roman"/>
          <w:sz w:val="24"/>
          <w:szCs w:val="24"/>
        </w:rPr>
        <w:endnoteReference w:id="9"/>
      </w:r>
    </w:p>
    <w:p w:rsidR="00F814BC" w:rsidRPr="00763FC0" w:rsidRDefault="00F814BC" w:rsidP="00F814BC">
      <w:pPr>
        <w:spacing w:after="120" w:line="240" w:lineRule="auto"/>
        <w:rPr>
          <w:rFonts w:ascii="Times New Roman" w:hAnsi="Times New Roman" w:cs="Times New Roman"/>
          <w:sz w:val="24"/>
          <w:szCs w:val="24"/>
        </w:rPr>
      </w:pPr>
      <w:r w:rsidRPr="00763FC0">
        <w:rPr>
          <w:rFonts w:ascii="Times New Roman" w:hAnsi="Times New Roman" w:cs="Times New Roman"/>
          <w:sz w:val="24"/>
          <w:szCs w:val="24"/>
        </w:rPr>
        <w:t xml:space="preserve">A study of the program after it was expanded state-wide </w:t>
      </w:r>
      <w:r w:rsidR="00705D9A">
        <w:rPr>
          <w:rFonts w:ascii="Times New Roman" w:hAnsi="Times New Roman" w:cs="Times New Roman"/>
          <w:sz w:val="24"/>
          <w:szCs w:val="24"/>
        </w:rPr>
        <w:t>found that a</w:t>
      </w:r>
      <w:r w:rsidRPr="00763FC0">
        <w:rPr>
          <w:rFonts w:ascii="Times New Roman" w:hAnsi="Times New Roman" w:cs="Times New Roman"/>
          <w:sz w:val="24"/>
          <w:szCs w:val="24"/>
        </w:rPr>
        <w:t xml:space="preserve">lthough students participating in the Louisiana voucher program are slightly less disadvantaged than the general population of voucher applicants (which could lead one to suspect they would </w:t>
      </w:r>
      <w:r w:rsidR="00EB4B95">
        <w:rPr>
          <w:rFonts w:ascii="Times New Roman" w:hAnsi="Times New Roman" w:cs="Times New Roman"/>
          <w:sz w:val="24"/>
          <w:szCs w:val="24"/>
        </w:rPr>
        <w:t xml:space="preserve">be </w:t>
      </w:r>
      <w:r w:rsidRPr="00763FC0">
        <w:rPr>
          <w:rFonts w:ascii="Times New Roman" w:hAnsi="Times New Roman" w:cs="Times New Roman"/>
          <w:sz w:val="24"/>
          <w:szCs w:val="24"/>
        </w:rPr>
        <w:t>academically advantaged), attendance at a voucher school actually</w:t>
      </w:r>
      <w:r w:rsidRPr="00705D9A">
        <w:rPr>
          <w:rFonts w:ascii="Times New Roman" w:hAnsi="Times New Roman" w:cs="Times New Roman"/>
          <w:sz w:val="24"/>
          <w:szCs w:val="24"/>
        </w:rPr>
        <w:t xml:space="preserve"> </w:t>
      </w:r>
      <w:r w:rsidR="00705D9A" w:rsidRPr="00705D9A">
        <w:rPr>
          <w:rFonts w:ascii="Times New Roman" w:hAnsi="Times New Roman" w:cs="Times New Roman"/>
          <w:sz w:val="24"/>
          <w:szCs w:val="24"/>
        </w:rPr>
        <w:t>reduced</w:t>
      </w:r>
      <w:r w:rsidRPr="00705D9A">
        <w:rPr>
          <w:rFonts w:ascii="Times New Roman" w:hAnsi="Times New Roman" w:cs="Times New Roman"/>
          <w:sz w:val="24"/>
          <w:szCs w:val="24"/>
        </w:rPr>
        <w:t xml:space="preserve"> </w:t>
      </w:r>
      <w:r w:rsidRPr="00763FC0">
        <w:rPr>
          <w:rFonts w:ascii="Times New Roman" w:hAnsi="Times New Roman" w:cs="Times New Roman"/>
          <w:sz w:val="24"/>
          <w:szCs w:val="24"/>
        </w:rPr>
        <w:t xml:space="preserve">test scores for voucher students. Indeed, researchers </w:t>
      </w:r>
      <w:r w:rsidR="00EB4B95" w:rsidRPr="00763FC0">
        <w:rPr>
          <w:rFonts w:ascii="Times New Roman" w:hAnsi="Times New Roman" w:cs="Times New Roman"/>
          <w:sz w:val="24"/>
          <w:szCs w:val="24"/>
        </w:rPr>
        <w:t>warned,</w:t>
      </w:r>
      <w:r w:rsidRPr="00763FC0">
        <w:rPr>
          <w:rFonts w:ascii="Times New Roman" w:hAnsi="Times New Roman" w:cs="Times New Roman"/>
          <w:sz w:val="24"/>
          <w:szCs w:val="24"/>
        </w:rPr>
        <w:t xml:space="preserve"> “voucher use substantially boosts the likelihood of failing tests in every subject.”</w:t>
      </w:r>
      <w:r w:rsidRPr="00763FC0">
        <w:rPr>
          <w:rStyle w:val="EndnoteReference"/>
          <w:rFonts w:ascii="Times New Roman" w:hAnsi="Times New Roman" w:cs="Times New Roman"/>
          <w:sz w:val="24"/>
          <w:szCs w:val="24"/>
        </w:rPr>
        <w:endnoteReference w:id="10"/>
      </w:r>
    </w:p>
    <w:p w:rsidR="00CC272F" w:rsidRDefault="00705D9A" w:rsidP="00705D9A">
      <w:pPr>
        <w:spacing w:line="240" w:lineRule="auto"/>
        <w:rPr>
          <w:rFonts w:ascii="Times New Roman" w:hAnsi="Times New Roman" w:cs="Times New Roman"/>
          <w:sz w:val="24"/>
          <w:szCs w:val="24"/>
        </w:rPr>
      </w:pPr>
      <w:r>
        <w:rPr>
          <w:rFonts w:ascii="Times New Roman" w:hAnsi="Times New Roman" w:cs="Times New Roman"/>
          <w:sz w:val="24"/>
          <w:szCs w:val="24"/>
        </w:rPr>
        <w:t xml:space="preserve">Another evaluation examined </w:t>
      </w:r>
      <w:r w:rsidR="00CC272F">
        <w:rPr>
          <w:rFonts w:ascii="Times New Roman" w:hAnsi="Times New Roman" w:cs="Times New Roman"/>
          <w:sz w:val="24"/>
          <w:szCs w:val="24"/>
        </w:rPr>
        <w:t xml:space="preserve">the data after three years </w:t>
      </w:r>
      <w:r>
        <w:rPr>
          <w:rFonts w:ascii="Times New Roman" w:hAnsi="Times New Roman" w:cs="Times New Roman"/>
          <w:sz w:val="24"/>
          <w:szCs w:val="24"/>
        </w:rPr>
        <w:t>and found that a</w:t>
      </w:r>
      <w:r w:rsidRPr="00763FC0">
        <w:rPr>
          <w:rFonts w:ascii="Times New Roman" w:hAnsi="Times New Roman" w:cs="Times New Roman"/>
          <w:sz w:val="24"/>
          <w:szCs w:val="24"/>
        </w:rPr>
        <w:t xml:space="preserve">fter one year, voucher students scored an average of 11 percentile points lower in </w:t>
      </w:r>
      <w:r>
        <w:rPr>
          <w:rFonts w:ascii="Times New Roman" w:hAnsi="Times New Roman" w:cs="Times New Roman"/>
          <w:sz w:val="24"/>
          <w:szCs w:val="24"/>
        </w:rPr>
        <w:t xml:space="preserve">English language arts </w:t>
      </w:r>
      <w:r w:rsidRPr="00763FC0">
        <w:rPr>
          <w:rFonts w:ascii="Times New Roman" w:hAnsi="Times New Roman" w:cs="Times New Roman"/>
          <w:sz w:val="24"/>
          <w:szCs w:val="24"/>
        </w:rPr>
        <w:t>and 27 percentile points lower in math</w:t>
      </w:r>
      <w:r>
        <w:rPr>
          <w:rFonts w:ascii="Times New Roman" w:hAnsi="Times New Roman" w:cs="Times New Roman"/>
          <w:sz w:val="24"/>
          <w:szCs w:val="24"/>
        </w:rPr>
        <w:t xml:space="preserve"> than their public school peers</w:t>
      </w:r>
      <w:r w:rsidRPr="00763FC0">
        <w:rPr>
          <w:rFonts w:ascii="Times New Roman" w:hAnsi="Times New Roman" w:cs="Times New Roman"/>
          <w:sz w:val="24"/>
          <w:szCs w:val="24"/>
        </w:rPr>
        <w:t>. After two years, voucher students remained 17 percentile points lower in math</w:t>
      </w:r>
      <w:r>
        <w:rPr>
          <w:rFonts w:ascii="Times New Roman" w:hAnsi="Times New Roman" w:cs="Times New Roman"/>
          <w:sz w:val="24"/>
          <w:szCs w:val="24"/>
        </w:rPr>
        <w:t>. After three years, performance was similar</w:t>
      </w:r>
      <w:r w:rsidR="009A3069">
        <w:rPr>
          <w:rFonts w:ascii="Times New Roman" w:hAnsi="Times New Roman" w:cs="Times New Roman"/>
          <w:sz w:val="24"/>
          <w:szCs w:val="24"/>
        </w:rPr>
        <w:t xml:space="preserve">. Voucher advocates suggest the initial poor performance may be attributable to disruption associated with switching schools, and the non-alignment of private school curricula and the state assessment, but an alternative hypothesis is that </w:t>
      </w:r>
      <w:r>
        <w:rPr>
          <w:rFonts w:ascii="Times New Roman" w:hAnsi="Times New Roman" w:cs="Times New Roman"/>
          <w:sz w:val="24"/>
          <w:szCs w:val="24"/>
        </w:rPr>
        <w:t xml:space="preserve">voucher students experiencing low performance may have transferred back to public schools. </w:t>
      </w:r>
      <w:r w:rsidR="00CC272F">
        <w:rPr>
          <w:rStyle w:val="EndnoteReference"/>
          <w:rFonts w:ascii="Times New Roman" w:hAnsi="Times New Roman" w:cs="Times New Roman"/>
          <w:sz w:val="24"/>
          <w:szCs w:val="24"/>
        </w:rPr>
        <w:endnoteReference w:id="11"/>
      </w:r>
    </w:p>
    <w:p w:rsidR="00B2068E" w:rsidRPr="00763FC0" w:rsidRDefault="00B2068E" w:rsidP="00587E8A">
      <w:pPr>
        <w:spacing w:after="120" w:line="240" w:lineRule="auto"/>
        <w:rPr>
          <w:rFonts w:ascii="Times New Roman" w:hAnsi="Times New Roman" w:cs="Times New Roman"/>
          <w:b/>
          <w:sz w:val="24"/>
          <w:szCs w:val="24"/>
        </w:rPr>
      </w:pPr>
      <w:r w:rsidRPr="00763FC0">
        <w:rPr>
          <w:rFonts w:ascii="Times New Roman" w:hAnsi="Times New Roman" w:cs="Times New Roman"/>
          <w:b/>
          <w:sz w:val="24"/>
          <w:szCs w:val="24"/>
        </w:rPr>
        <w:t>North Carolina</w:t>
      </w:r>
    </w:p>
    <w:p w:rsidR="00B2068E" w:rsidRPr="00763FC0" w:rsidRDefault="00B2068E" w:rsidP="00B2068E">
      <w:pPr>
        <w:spacing w:after="0" w:line="240" w:lineRule="auto"/>
        <w:rPr>
          <w:rFonts w:ascii="Times New Roman" w:hAnsi="Times New Roman" w:cs="Times New Roman"/>
          <w:sz w:val="24"/>
          <w:szCs w:val="24"/>
        </w:rPr>
      </w:pPr>
    </w:p>
    <w:p w:rsidR="00B2068E" w:rsidRPr="00763FC0" w:rsidRDefault="00B2068E" w:rsidP="00B2068E">
      <w:pPr>
        <w:spacing w:after="0" w:line="240" w:lineRule="auto"/>
        <w:rPr>
          <w:rFonts w:ascii="Times New Roman" w:hAnsi="Times New Roman" w:cs="Times New Roman"/>
          <w:sz w:val="24"/>
          <w:szCs w:val="24"/>
        </w:rPr>
      </w:pPr>
      <w:r w:rsidRPr="009A3069">
        <w:rPr>
          <w:rFonts w:ascii="Times New Roman" w:hAnsi="Times New Roman" w:cs="Times New Roman"/>
          <w:sz w:val="24"/>
          <w:szCs w:val="24"/>
        </w:rPr>
        <w:t>Accountability i</w:t>
      </w:r>
      <w:r w:rsidRPr="00763FC0">
        <w:rPr>
          <w:rFonts w:ascii="Times New Roman" w:hAnsi="Times New Roman" w:cs="Times New Roman"/>
          <w:sz w:val="24"/>
          <w:szCs w:val="24"/>
        </w:rPr>
        <w:t>n NC is among the weakest in the nation. The program does not require participating private schools be accredited or state approved, that the school teach a state-approved curriculum, that teachers be licensed or certified, or even that schools remain in operation a minimum number of hours/day, days/year. Schools enrolling more than 25 voucher students must report publicly the percentage of test-takers who performed above and below the 50</w:t>
      </w:r>
      <w:r w:rsidRPr="00763FC0">
        <w:rPr>
          <w:rFonts w:ascii="Times New Roman" w:hAnsi="Times New Roman" w:cs="Times New Roman"/>
          <w:sz w:val="24"/>
          <w:szCs w:val="24"/>
          <w:vertAlign w:val="superscript"/>
        </w:rPr>
        <w:t>th</w:t>
      </w:r>
      <w:r w:rsidRPr="00763FC0">
        <w:rPr>
          <w:rFonts w:ascii="Times New Roman" w:hAnsi="Times New Roman" w:cs="Times New Roman"/>
          <w:sz w:val="24"/>
          <w:szCs w:val="24"/>
        </w:rPr>
        <w:t xml:space="preserve"> percentile on a nationally standardized assessment of reading, language arts, and math. </w:t>
      </w:r>
    </w:p>
    <w:p w:rsidR="00B2068E" w:rsidRPr="00763FC0" w:rsidRDefault="00B2068E" w:rsidP="00B2068E">
      <w:pPr>
        <w:spacing w:after="0" w:line="240" w:lineRule="auto"/>
        <w:rPr>
          <w:rFonts w:ascii="Times New Roman" w:hAnsi="Times New Roman" w:cs="Times New Roman"/>
          <w:sz w:val="24"/>
          <w:szCs w:val="24"/>
        </w:rPr>
      </w:pPr>
    </w:p>
    <w:p w:rsidR="00B2068E" w:rsidRPr="00763FC0" w:rsidRDefault="00B2068E" w:rsidP="00B2068E">
      <w:pPr>
        <w:spacing w:after="0" w:line="240" w:lineRule="auto"/>
        <w:rPr>
          <w:rFonts w:ascii="Times New Roman" w:hAnsi="Times New Roman" w:cs="Times New Roman"/>
          <w:sz w:val="24"/>
          <w:szCs w:val="24"/>
        </w:rPr>
      </w:pPr>
      <w:r w:rsidRPr="00763FC0">
        <w:rPr>
          <w:rFonts w:ascii="Times New Roman" w:hAnsi="Times New Roman" w:cs="Times New Roman"/>
          <w:sz w:val="24"/>
          <w:szCs w:val="24"/>
        </w:rPr>
        <w:t xml:space="preserve">In 2014-15, only six schools reported data, for 172 students (14% of all voucher students). Of that </w:t>
      </w:r>
      <w:r w:rsidR="00EB4B95" w:rsidRPr="00763FC0">
        <w:rPr>
          <w:rFonts w:ascii="Times New Roman" w:hAnsi="Times New Roman" w:cs="Times New Roman"/>
          <w:sz w:val="24"/>
          <w:szCs w:val="24"/>
        </w:rPr>
        <w:t>number,</w:t>
      </w:r>
      <w:r w:rsidRPr="00763FC0">
        <w:rPr>
          <w:rFonts w:ascii="Times New Roman" w:hAnsi="Times New Roman" w:cs="Times New Roman"/>
          <w:sz w:val="24"/>
          <w:szCs w:val="24"/>
        </w:rPr>
        <w:t xml:space="preserve"> 54% scored below in reading, 53% scored below in math, and 48% scored below in language.</w:t>
      </w:r>
    </w:p>
    <w:p w:rsidR="00B2068E" w:rsidRPr="00763FC0" w:rsidRDefault="00B2068E" w:rsidP="00B2068E">
      <w:pPr>
        <w:rPr>
          <w:rFonts w:ascii="Times New Roman" w:hAnsi="Times New Roman" w:cs="Times New Roman"/>
          <w:sz w:val="24"/>
          <w:szCs w:val="24"/>
        </w:rPr>
      </w:pPr>
    </w:p>
    <w:p w:rsidR="009A3069" w:rsidRPr="00763FC0" w:rsidRDefault="00B2068E" w:rsidP="009A3069">
      <w:pPr>
        <w:spacing w:after="0" w:line="240" w:lineRule="auto"/>
        <w:rPr>
          <w:rFonts w:ascii="Times New Roman" w:hAnsi="Times New Roman" w:cs="Times New Roman"/>
          <w:b/>
          <w:sz w:val="24"/>
          <w:szCs w:val="24"/>
        </w:rPr>
      </w:pPr>
      <w:r w:rsidRPr="00763FC0">
        <w:rPr>
          <w:rFonts w:ascii="Times New Roman" w:hAnsi="Times New Roman" w:cs="Times New Roman"/>
          <w:sz w:val="24"/>
          <w:szCs w:val="24"/>
        </w:rPr>
        <w:lastRenderedPageBreak/>
        <w:t>In 2015-16, 34 schools reported data for 817 students, but due to enrollment increases, this still represented only 22% of all voucher students. Of that number, 55% scored below in reading, 53% scored below in math, and 54% scored below in language.</w:t>
      </w:r>
      <w:r w:rsidR="009A3069" w:rsidRPr="009A3069">
        <w:rPr>
          <w:rStyle w:val="EndnoteReference"/>
          <w:rFonts w:ascii="Times New Roman" w:hAnsi="Times New Roman" w:cs="Times New Roman"/>
          <w:b/>
          <w:sz w:val="24"/>
          <w:szCs w:val="24"/>
        </w:rPr>
        <w:t xml:space="preserve"> </w:t>
      </w:r>
      <w:r w:rsidR="009A3069">
        <w:rPr>
          <w:rStyle w:val="EndnoteReference"/>
          <w:rFonts w:ascii="Times New Roman" w:hAnsi="Times New Roman" w:cs="Times New Roman"/>
          <w:b/>
          <w:sz w:val="24"/>
          <w:szCs w:val="24"/>
        </w:rPr>
        <w:endnoteReference w:id="12"/>
      </w:r>
    </w:p>
    <w:p w:rsidR="00B2068E" w:rsidRPr="00763FC0" w:rsidRDefault="00B2068E" w:rsidP="00B2068E">
      <w:pPr>
        <w:spacing w:after="0" w:line="240" w:lineRule="auto"/>
        <w:rPr>
          <w:rFonts w:ascii="Times New Roman" w:hAnsi="Times New Roman" w:cs="Times New Roman"/>
          <w:sz w:val="24"/>
          <w:szCs w:val="24"/>
        </w:rPr>
      </w:pPr>
    </w:p>
    <w:p w:rsidR="00587E8A" w:rsidRPr="00763FC0" w:rsidRDefault="00587E8A" w:rsidP="00587E8A">
      <w:pPr>
        <w:spacing w:after="120" w:line="240" w:lineRule="auto"/>
        <w:rPr>
          <w:rFonts w:ascii="Times New Roman" w:hAnsi="Times New Roman" w:cs="Times New Roman"/>
          <w:b/>
          <w:sz w:val="24"/>
          <w:szCs w:val="24"/>
        </w:rPr>
      </w:pPr>
      <w:r w:rsidRPr="00763FC0">
        <w:rPr>
          <w:rFonts w:ascii="Times New Roman" w:hAnsi="Times New Roman" w:cs="Times New Roman"/>
          <w:b/>
          <w:sz w:val="24"/>
          <w:szCs w:val="24"/>
        </w:rPr>
        <w:t>Ohio</w:t>
      </w:r>
      <w:r w:rsidRPr="00763FC0">
        <w:rPr>
          <w:rFonts w:ascii="Times New Roman" w:hAnsi="Times New Roman" w:cs="Times New Roman"/>
          <w:b/>
          <w:sz w:val="24"/>
          <w:szCs w:val="24"/>
        </w:rPr>
        <w:tab/>
      </w:r>
    </w:p>
    <w:p w:rsidR="00DF75A0" w:rsidRPr="00763FC0" w:rsidRDefault="008E69C6" w:rsidP="00587E8A">
      <w:pPr>
        <w:spacing w:after="120" w:line="240" w:lineRule="auto"/>
        <w:rPr>
          <w:rFonts w:ascii="Times New Roman" w:hAnsi="Times New Roman" w:cs="Times New Roman"/>
          <w:sz w:val="24"/>
          <w:szCs w:val="24"/>
        </w:rPr>
      </w:pPr>
      <w:r w:rsidRPr="00763FC0">
        <w:rPr>
          <w:rFonts w:ascii="Times New Roman" w:hAnsi="Times New Roman" w:cs="Times New Roman"/>
          <w:sz w:val="24"/>
          <w:szCs w:val="24"/>
        </w:rPr>
        <w:t xml:space="preserve">The pro-voucher Fordham Institute </w:t>
      </w:r>
      <w:r w:rsidR="00DF75A0" w:rsidRPr="00763FC0">
        <w:rPr>
          <w:rFonts w:ascii="Times New Roman" w:hAnsi="Times New Roman" w:cs="Times New Roman"/>
          <w:sz w:val="24"/>
          <w:szCs w:val="24"/>
        </w:rPr>
        <w:t xml:space="preserve">studied Ohio’s </w:t>
      </w:r>
      <w:proofErr w:type="spellStart"/>
      <w:r w:rsidR="00DF75A0" w:rsidRPr="00763FC0">
        <w:rPr>
          <w:rFonts w:ascii="Times New Roman" w:hAnsi="Times New Roman" w:cs="Times New Roman"/>
          <w:sz w:val="24"/>
          <w:szCs w:val="24"/>
        </w:rPr>
        <w:t>EdChoice</w:t>
      </w:r>
      <w:proofErr w:type="spellEnd"/>
      <w:r w:rsidR="00DF75A0" w:rsidRPr="00763FC0">
        <w:rPr>
          <w:rFonts w:ascii="Times New Roman" w:hAnsi="Times New Roman" w:cs="Times New Roman"/>
          <w:sz w:val="24"/>
          <w:szCs w:val="24"/>
        </w:rPr>
        <w:t xml:space="preserve"> voucher program, and based on ten years’ worth of student data, found that</w:t>
      </w:r>
      <w:r w:rsidR="006F195A" w:rsidRPr="00763FC0">
        <w:rPr>
          <w:rFonts w:ascii="Times New Roman" w:hAnsi="Times New Roman" w:cs="Times New Roman"/>
          <w:sz w:val="24"/>
          <w:szCs w:val="24"/>
        </w:rPr>
        <w:t xml:space="preserve"> “students who use vouchers to attend private schools have fared worse academically compared to their closely matched peers attending public school.”</w:t>
      </w:r>
      <w:r w:rsidR="006F195A" w:rsidRPr="00763FC0">
        <w:rPr>
          <w:rStyle w:val="EndnoteReference"/>
          <w:rFonts w:ascii="Times New Roman" w:hAnsi="Times New Roman" w:cs="Times New Roman"/>
          <w:sz w:val="24"/>
          <w:szCs w:val="24"/>
        </w:rPr>
        <w:endnoteReference w:id="13"/>
      </w:r>
      <w:r w:rsidR="00DF75A0" w:rsidRPr="00763FC0">
        <w:rPr>
          <w:rFonts w:ascii="Times New Roman" w:hAnsi="Times New Roman" w:cs="Times New Roman"/>
          <w:sz w:val="24"/>
          <w:szCs w:val="24"/>
        </w:rPr>
        <w:t xml:space="preserve"> </w:t>
      </w:r>
      <w:r w:rsidR="006F195A" w:rsidRPr="00763FC0">
        <w:rPr>
          <w:rFonts w:ascii="Times New Roman" w:hAnsi="Times New Roman" w:cs="Times New Roman"/>
          <w:sz w:val="24"/>
          <w:szCs w:val="24"/>
        </w:rPr>
        <w:t xml:space="preserve">This is despite the fact that </w:t>
      </w:r>
      <w:r w:rsidR="00DF75A0" w:rsidRPr="00763FC0">
        <w:rPr>
          <w:rFonts w:ascii="Times New Roman" w:hAnsi="Times New Roman" w:cs="Times New Roman"/>
          <w:sz w:val="24"/>
          <w:szCs w:val="24"/>
        </w:rPr>
        <w:t>students who use vouchers are relatively less disadvantaged than students who are eligible for vouchers but choose not to use them, and are also somewhat higher achieving.</w:t>
      </w:r>
    </w:p>
    <w:p w:rsidR="00587E8A" w:rsidRPr="00763FC0" w:rsidRDefault="00587E8A" w:rsidP="00DF75A0">
      <w:pPr>
        <w:spacing w:after="120" w:line="240" w:lineRule="auto"/>
        <w:rPr>
          <w:rFonts w:ascii="Times New Roman" w:hAnsi="Times New Roman" w:cs="Times New Roman"/>
          <w:sz w:val="24"/>
          <w:szCs w:val="24"/>
        </w:rPr>
      </w:pPr>
      <w:r w:rsidRPr="00763FC0">
        <w:rPr>
          <w:rFonts w:ascii="Times New Roman" w:hAnsi="Times New Roman" w:cs="Times New Roman"/>
          <w:sz w:val="24"/>
          <w:szCs w:val="24"/>
        </w:rPr>
        <w:t xml:space="preserve">The only longitudinal study evaluation of the Cleveland voucher program </w:t>
      </w:r>
      <w:r w:rsidR="00DF75A0" w:rsidRPr="00763FC0">
        <w:rPr>
          <w:rFonts w:ascii="Times New Roman" w:hAnsi="Times New Roman" w:cs="Times New Roman"/>
          <w:sz w:val="24"/>
          <w:szCs w:val="24"/>
        </w:rPr>
        <w:t xml:space="preserve">also </w:t>
      </w:r>
      <w:r w:rsidRPr="00763FC0">
        <w:rPr>
          <w:rFonts w:ascii="Times New Roman" w:hAnsi="Times New Roman" w:cs="Times New Roman"/>
          <w:sz w:val="24"/>
          <w:szCs w:val="24"/>
        </w:rPr>
        <w:t xml:space="preserve">found that </w:t>
      </w:r>
      <w:r w:rsidR="00DF75A0" w:rsidRPr="00763FC0">
        <w:rPr>
          <w:rFonts w:ascii="Times New Roman" w:hAnsi="Times New Roman" w:cs="Times New Roman"/>
          <w:sz w:val="24"/>
          <w:szCs w:val="24"/>
        </w:rPr>
        <w:t>voucher students</w:t>
      </w:r>
      <w:r w:rsidR="00DF75A0" w:rsidRPr="00763FC0">
        <w:rPr>
          <w:rFonts w:ascii="Times New Roman" w:eastAsia="Times New Roman" w:hAnsi="Times New Roman" w:cs="Times New Roman"/>
          <w:sz w:val="24"/>
          <w:szCs w:val="24"/>
        </w:rPr>
        <w:t xml:space="preserve"> tended to come from families that were less disadvantaged than their </w:t>
      </w:r>
      <w:proofErr w:type="gramStart"/>
      <w:r w:rsidR="00DF75A0" w:rsidRPr="00763FC0">
        <w:rPr>
          <w:rFonts w:ascii="Times New Roman" w:eastAsia="Times New Roman" w:hAnsi="Times New Roman" w:cs="Times New Roman"/>
          <w:sz w:val="24"/>
          <w:szCs w:val="24"/>
        </w:rPr>
        <w:t>public school</w:t>
      </w:r>
      <w:proofErr w:type="gramEnd"/>
      <w:r w:rsidR="00DF75A0" w:rsidRPr="00763FC0">
        <w:rPr>
          <w:rFonts w:ascii="Times New Roman" w:eastAsia="Times New Roman" w:hAnsi="Times New Roman" w:cs="Times New Roman"/>
          <w:sz w:val="24"/>
          <w:szCs w:val="24"/>
        </w:rPr>
        <w:t xml:space="preserve"> peers. That study found no</w:t>
      </w:r>
      <w:r w:rsidRPr="00763FC0">
        <w:rPr>
          <w:rFonts w:ascii="Times New Roman" w:eastAsia="Times New Roman" w:hAnsi="Times New Roman" w:cs="Times New Roman"/>
          <w:sz w:val="24"/>
          <w:szCs w:val="24"/>
        </w:rPr>
        <w:t xml:space="preserve"> consistent pattern either of enhanced or diminished academic achievement for voucher students. While students in public school and voucher schools were likely to experience similar class size and teachers with similar years of experience, the public school students were more likely to have teachers who were certified, and had completed graduate coursework.</w:t>
      </w:r>
      <w:r w:rsidRPr="00763FC0">
        <w:rPr>
          <w:rStyle w:val="EndnoteReference"/>
          <w:rFonts w:ascii="Times New Roman" w:eastAsia="Times New Roman" w:hAnsi="Times New Roman" w:cs="Times New Roman"/>
          <w:sz w:val="24"/>
          <w:szCs w:val="24"/>
        </w:rPr>
        <w:endnoteReference w:id="14"/>
      </w:r>
      <w:r w:rsidRPr="00763FC0">
        <w:rPr>
          <w:rFonts w:ascii="Times New Roman" w:eastAsia="Times New Roman" w:hAnsi="Times New Roman" w:cs="Times New Roman"/>
          <w:sz w:val="24"/>
          <w:szCs w:val="24"/>
        </w:rPr>
        <w:t xml:space="preserve"> </w:t>
      </w:r>
      <w:r w:rsidRPr="00763FC0">
        <w:rPr>
          <w:rFonts w:ascii="Times New Roman" w:hAnsi="Times New Roman" w:cs="Times New Roman"/>
          <w:sz w:val="24"/>
          <w:szCs w:val="24"/>
        </w:rPr>
        <w:t>An evaluation of the data by another researcher confirmed that voucher students experienced no academic advantage, and indeed found a slight advantage in math for students in Cleveland public schools.</w:t>
      </w:r>
      <w:r w:rsidRPr="00763FC0">
        <w:rPr>
          <w:rStyle w:val="EndnoteReference"/>
          <w:rFonts w:ascii="Times New Roman" w:hAnsi="Times New Roman" w:cs="Times New Roman"/>
          <w:sz w:val="24"/>
          <w:szCs w:val="24"/>
        </w:rPr>
        <w:endnoteReference w:id="15"/>
      </w:r>
    </w:p>
    <w:p w:rsidR="0045531A" w:rsidRPr="00763FC0" w:rsidRDefault="00CC2A47" w:rsidP="00A34D4B">
      <w:pPr>
        <w:pStyle w:val="Default"/>
        <w:spacing w:before="100" w:beforeAutospacing="1" w:after="100" w:afterAutospacing="1"/>
      </w:pPr>
      <w:r w:rsidRPr="00763FC0">
        <w:rPr>
          <w:b/>
        </w:rPr>
        <w:t>Wiscon</w:t>
      </w:r>
      <w:r w:rsidR="0045531A" w:rsidRPr="00763FC0">
        <w:rPr>
          <w:b/>
        </w:rPr>
        <w:t>sin</w:t>
      </w:r>
      <w:r w:rsidR="00A34D4B" w:rsidRPr="00763FC0">
        <w:rPr>
          <w:b/>
        </w:rPr>
        <w:tab/>
      </w:r>
      <w:r w:rsidR="0045531A" w:rsidRPr="00763FC0">
        <w:t xml:space="preserve">A </w:t>
      </w:r>
      <w:r w:rsidR="00976634" w:rsidRPr="00763FC0">
        <w:t xml:space="preserve">2012 </w:t>
      </w:r>
      <w:r w:rsidR="0045531A" w:rsidRPr="00763FC0">
        <w:t>longitudinal study on students enrolled in the Milwaukee Parental Choice Program (MPCP) found little differences between voucher students and those attending Milwaukee Public Schools overall.</w:t>
      </w:r>
      <w:r w:rsidR="00A34D4B" w:rsidRPr="00763FC0">
        <w:t xml:space="preserve"> R</w:t>
      </w:r>
      <w:r w:rsidR="00976634" w:rsidRPr="00763FC0">
        <w:t>eports released by the School Choice Demonstration Project</w:t>
      </w:r>
      <w:r w:rsidR="00D71C2F" w:rsidRPr="00763FC0">
        <w:t xml:space="preserve"> (SCDP)</w:t>
      </w:r>
      <w:r w:rsidR="00976634" w:rsidRPr="00763FC0">
        <w:t>, based at the University of Arkansas, found that:</w:t>
      </w:r>
    </w:p>
    <w:p w:rsidR="00976634" w:rsidRPr="00763FC0" w:rsidRDefault="00976634" w:rsidP="0045531A">
      <w:pPr>
        <w:pStyle w:val="ListParagraph"/>
        <w:numPr>
          <w:ilvl w:val="0"/>
          <w:numId w:val="1"/>
        </w:numPr>
        <w:rPr>
          <w:rFonts w:ascii="Times New Roman" w:hAnsi="Times New Roman" w:cs="Times New Roman"/>
        </w:rPr>
      </w:pPr>
      <w:r w:rsidRPr="00763FC0">
        <w:rPr>
          <w:rFonts w:ascii="Times New Roman" w:hAnsi="Times New Roman" w:cs="Times New Roman"/>
        </w:rPr>
        <w:t xml:space="preserve">Voucher students in elementary and middle school </w:t>
      </w:r>
      <w:r w:rsidR="0045531A" w:rsidRPr="00763FC0">
        <w:rPr>
          <w:rFonts w:ascii="Times New Roman" w:hAnsi="Times New Roman" w:cs="Times New Roman"/>
        </w:rPr>
        <w:t xml:space="preserve">outperformed a matched sample of Milwaukee Public Schools (MPS) students in reading in the fifth year of the program. </w:t>
      </w:r>
    </w:p>
    <w:p w:rsidR="00976634" w:rsidRPr="00763FC0" w:rsidRDefault="00976634" w:rsidP="00976634">
      <w:pPr>
        <w:pStyle w:val="ListParagraph"/>
        <w:numPr>
          <w:ilvl w:val="0"/>
          <w:numId w:val="1"/>
        </w:numPr>
        <w:rPr>
          <w:rFonts w:ascii="Times New Roman" w:hAnsi="Times New Roman" w:cs="Times New Roman"/>
        </w:rPr>
      </w:pPr>
      <w:r w:rsidRPr="00763FC0">
        <w:rPr>
          <w:rFonts w:ascii="Times New Roman" w:hAnsi="Times New Roman" w:cs="Times New Roman"/>
        </w:rPr>
        <w:t xml:space="preserve">A sample of low-income MPS students scored higher on average than voucher students in 4th grade reading, math, and science, and in 8th and 10th grade math. </w:t>
      </w:r>
    </w:p>
    <w:p w:rsidR="0045531A" w:rsidRPr="00763FC0" w:rsidRDefault="00976634" w:rsidP="00976634">
      <w:pPr>
        <w:pStyle w:val="ListParagraph"/>
        <w:numPr>
          <w:ilvl w:val="0"/>
          <w:numId w:val="1"/>
        </w:numPr>
        <w:rPr>
          <w:rFonts w:ascii="Times New Roman" w:hAnsi="Times New Roman" w:cs="Times New Roman"/>
        </w:rPr>
      </w:pPr>
      <w:r w:rsidRPr="00763FC0">
        <w:rPr>
          <w:rFonts w:ascii="Times New Roman" w:hAnsi="Times New Roman" w:cs="Times New Roman"/>
        </w:rPr>
        <w:t>Voucher students scored higher than the MPS sample in 8th and 10th grade reading and science.</w:t>
      </w:r>
    </w:p>
    <w:p w:rsidR="00D71C2F" w:rsidRPr="00763FC0" w:rsidRDefault="00D71C2F" w:rsidP="0045531A">
      <w:pPr>
        <w:shd w:val="clear" w:color="auto" w:fill="FFFFFF"/>
        <w:spacing w:after="0" w:line="240" w:lineRule="auto"/>
        <w:outlineLvl w:val="0"/>
        <w:rPr>
          <w:rFonts w:ascii="Times New Roman" w:hAnsi="Times New Roman" w:cs="Times New Roman"/>
          <w:sz w:val="24"/>
          <w:szCs w:val="24"/>
        </w:rPr>
      </w:pPr>
    </w:p>
    <w:p w:rsidR="0045531A" w:rsidRPr="00763FC0" w:rsidRDefault="0045531A" w:rsidP="0045531A">
      <w:pPr>
        <w:shd w:val="clear" w:color="auto" w:fill="FFFFFF"/>
        <w:spacing w:after="0" w:line="240" w:lineRule="auto"/>
        <w:outlineLvl w:val="0"/>
        <w:rPr>
          <w:rFonts w:ascii="Times New Roman" w:eastAsia="Times New Roman" w:hAnsi="Times New Roman" w:cs="Times New Roman"/>
          <w:sz w:val="24"/>
          <w:szCs w:val="24"/>
          <w:lang w:val="en"/>
        </w:rPr>
      </w:pPr>
      <w:r w:rsidRPr="00763FC0">
        <w:rPr>
          <w:rFonts w:ascii="Times New Roman" w:eastAsia="Times New Roman" w:hAnsi="Times New Roman" w:cs="Times New Roman"/>
          <w:kern w:val="36"/>
          <w:sz w:val="24"/>
          <w:szCs w:val="24"/>
          <w:lang w:val="en"/>
        </w:rPr>
        <w:t xml:space="preserve">A state audit </w:t>
      </w:r>
      <w:r w:rsidR="00596BDF" w:rsidRPr="00763FC0">
        <w:rPr>
          <w:rFonts w:ascii="Times New Roman" w:eastAsia="Times New Roman" w:hAnsi="Times New Roman" w:cs="Times New Roman"/>
          <w:kern w:val="36"/>
          <w:sz w:val="24"/>
          <w:szCs w:val="24"/>
          <w:lang w:val="en"/>
        </w:rPr>
        <w:t xml:space="preserve">of the study </w:t>
      </w:r>
      <w:r w:rsidRPr="00763FC0">
        <w:rPr>
          <w:rFonts w:ascii="Times New Roman" w:eastAsia="Times New Roman" w:hAnsi="Times New Roman" w:cs="Times New Roman"/>
          <w:sz w:val="24"/>
          <w:szCs w:val="24"/>
          <w:lang w:val="en"/>
        </w:rPr>
        <w:t>revealed that only 17.5% of voucher students remained in a voucher school after five year</w:t>
      </w:r>
      <w:r w:rsidR="00D71C2F" w:rsidRPr="00763FC0">
        <w:rPr>
          <w:rFonts w:ascii="Times New Roman" w:eastAsia="Times New Roman" w:hAnsi="Times New Roman" w:cs="Times New Roman"/>
          <w:sz w:val="24"/>
          <w:szCs w:val="24"/>
          <w:lang w:val="en"/>
        </w:rPr>
        <w:t>s</w:t>
      </w:r>
      <w:r w:rsidRPr="00763FC0">
        <w:rPr>
          <w:rFonts w:ascii="Times New Roman" w:eastAsia="Times New Roman" w:hAnsi="Times New Roman" w:cs="Times New Roman"/>
          <w:sz w:val="24"/>
          <w:szCs w:val="24"/>
          <w:lang w:val="en"/>
        </w:rPr>
        <w:t xml:space="preserve">, while 43.5% of Milwaukee Public School students remained in MPS for the five years of the study. State auditors excluded students who switched, while SCDP researchers continued to </w:t>
      </w:r>
      <w:r w:rsidR="00D71C2F" w:rsidRPr="00763FC0">
        <w:rPr>
          <w:rFonts w:ascii="Times New Roman" w:eastAsia="Times New Roman" w:hAnsi="Times New Roman" w:cs="Times New Roman"/>
          <w:sz w:val="24"/>
          <w:szCs w:val="24"/>
          <w:lang w:val="en"/>
        </w:rPr>
        <w:t xml:space="preserve">include </w:t>
      </w:r>
      <w:r w:rsidRPr="00763FC0">
        <w:rPr>
          <w:rFonts w:ascii="Times New Roman" w:eastAsia="Times New Roman" w:hAnsi="Times New Roman" w:cs="Times New Roman"/>
          <w:sz w:val="24"/>
          <w:szCs w:val="24"/>
          <w:lang w:val="en"/>
        </w:rPr>
        <w:t>former voucher students as if they were still enrolled in the program.</w:t>
      </w:r>
      <w:r w:rsidR="006A4F4C" w:rsidRPr="00763FC0">
        <w:rPr>
          <w:rStyle w:val="EndnoteReference"/>
          <w:rFonts w:ascii="Times New Roman" w:eastAsia="Times New Roman" w:hAnsi="Times New Roman" w:cs="Times New Roman"/>
          <w:sz w:val="24"/>
          <w:szCs w:val="24"/>
          <w:lang w:val="en"/>
        </w:rPr>
        <w:endnoteReference w:id="16"/>
      </w:r>
    </w:p>
    <w:p w:rsidR="00596BDF" w:rsidRPr="00763FC0" w:rsidRDefault="00596BDF" w:rsidP="0045531A">
      <w:pPr>
        <w:shd w:val="clear" w:color="auto" w:fill="FFFFFF"/>
        <w:spacing w:after="0" w:line="240" w:lineRule="auto"/>
        <w:outlineLvl w:val="0"/>
        <w:rPr>
          <w:rFonts w:ascii="Times New Roman" w:eastAsia="Times New Roman" w:hAnsi="Times New Roman" w:cs="Times New Roman"/>
          <w:sz w:val="24"/>
          <w:szCs w:val="24"/>
          <w:lang w:val="en"/>
        </w:rPr>
      </w:pPr>
    </w:p>
    <w:p w:rsidR="00596BDF" w:rsidRPr="00763FC0" w:rsidRDefault="00596BDF" w:rsidP="0045531A">
      <w:pPr>
        <w:shd w:val="clear" w:color="auto" w:fill="FFFFFF"/>
        <w:spacing w:after="0" w:line="240" w:lineRule="auto"/>
        <w:outlineLvl w:val="0"/>
        <w:rPr>
          <w:rFonts w:ascii="Times New Roman" w:eastAsia="Times New Roman" w:hAnsi="Times New Roman" w:cs="Times New Roman"/>
          <w:kern w:val="36"/>
          <w:sz w:val="24"/>
          <w:szCs w:val="24"/>
          <w:lang w:val="en"/>
        </w:rPr>
      </w:pPr>
      <w:r w:rsidRPr="00763FC0">
        <w:rPr>
          <w:rFonts w:ascii="Times New Roman" w:eastAsia="Times New Roman" w:hAnsi="Times New Roman" w:cs="Times New Roman"/>
          <w:sz w:val="24"/>
          <w:szCs w:val="24"/>
          <w:lang w:val="en"/>
        </w:rPr>
        <w:t xml:space="preserve">In the 2013-14 school year, </w:t>
      </w:r>
      <w:r w:rsidR="00B10170" w:rsidRPr="00763FC0">
        <w:rPr>
          <w:rFonts w:ascii="Times New Roman" w:eastAsia="Times New Roman" w:hAnsi="Times New Roman" w:cs="Times New Roman"/>
          <w:sz w:val="24"/>
          <w:szCs w:val="24"/>
          <w:lang w:val="en"/>
        </w:rPr>
        <w:t>public school students in Milwaukee and Racine again outscored their voucher school peers.</w:t>
      </w:r>
      <w:r w:rsidR="00B10170" w:rsidRPr="00763FC0">
        <w:rPr>
          <w:rStyle w:val="EndnoteReference"/>
          <w:rFonts w:ascii="Times New Roman" w:eastAsia="Times New Roman" w:hAnsi="Times New Roman" w:cs="Times New Roman"/>
          <w:sz w:val="24"/>
          <w:szCs w:val="24"/>
          <w:lang w:val="en"/>
        </w:rPr>
        <w:endnoteReference w:id="17"/>
      </w:r>
    </w:p>
    <w:p w:rsidR="00A34D4B" w:rsidRPr="00763FC0" w:rsidRDefault="00A34D4B" w:rsidP="00D71C2F">
      <w:pPr>
        <w:pStyle w:val="ColorfulList-Accent11"/>
        <w:spacing w:after="120"/>
        <w:ind w:left="0"/>
        <w:contextualSpacing w:val="0"/>
        <w:rPr>
          <w:b/>
          <w:bCs/>
          <w:lang w:val="en"/>
        </w:rPr>
      </w:pPr>
    </w:p>
    <w:p w:rsidR="008863D7" w:rsidRPr="00763FC0" w:rsidRDefault="008863D7" w:rsidP="00717586">
      <w:pPr>
        <w:autoSpaceDE w:val="0"/>
        <w:autoSpaceDN w:val="0"/>
        <w:adjustRightInd w:val="0"/>
        <w:spacing w:after="0" w:line="240" w:lineRule="auto"/>
        <w:rPr>
          <w:rFonts w:ascii="Times New Roman" w:hAnsi="Times New Roman" w:cs="Times New Roman"/>
          <w:b/>
          <w:sz w:val="24"/>
          <w:szCs w:val="24"/>
        </w:rPr>
      </w:pPr>
    </w:p>
    <w:p w:rsidR="009A3069" w:rsidRDefault="009A3069" w:rsidP="008B0884">
      <w:pPr>
        <w:rPr>
          <w:rFonts w:ascii="Times New Roman" w:hAnsi="Times New Roman" w:cs="Times New Roman"/>
          <w:b/>
          <w:sz w:val="24"/>
          <w:szCs w:val="24"/>
        </w:rPr>
      </w:pPr>
    </w:p>
    <w:p w:rsidR="00F20140" w:rsidRPr="00763FC0" w:rsidRDefault="005D2CC7" w:rsidP="00837A3F">
      <w:pPr>
        <w:shd w:val="clear" w:color="auto" w:fill="FFFFFF"/>
        <w:spacing w:after="0" w:line="240" w:lineRule="auto"/>
        <w:outlineLvl w:val="0"/>
        <w:rPr>
          <w:rFonts w:ascii="Times New Roman" w:eastAsia="Times New Roman" w:hAnsi="Times New Roman" w:cs="Times New Roman"/>
          <w:b/>
          <w:bCs/>
          <w:kern w:val="36"/>
          <w:sz w:val="24"/>
          <w:szCs w:val="24"/>
          <w:lang w:val="en"/>
        </w:rPr>
      </w:pPr>
      <w:r w:rsidRPr="00763FC0">
        <w:rPr>
          <w:rFonts w:ascii="Times New Roman" w:eastAsia="Times New Roman" w:hAnsi="Times New Roman" w:cs="Times New Roman"/>
          <w:b/>
          <w:bCs/>
          <w:kern w:val="36"/>
          <w:sz w:val="24"/>
          <w:szCs w:val="24"/>
          <w:lang w:val="en"/>
        </w:rPr>
        <w:lastRenderedPageBreak/>
        <w:t>NOTES</w:t>
      </w:r>
    </w:p>
    <w:sectPr w:rsidR="00F20140" w:rsidRPr="00763FC0">
      <w:headerReference w:type="default"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F1B" w:rsidRDefault="00FE5F1B" w:rsidP="00D71C2F">
      <w:pPr>
        <w:spacing w:after="0" w:line="240" w:lineRule="auto"/>
      </w:pPr>
      <w:r>
        <w:separator/>
      </w:r>
    </w:p>
  </w:endnote>
  <w:endnote w:type="continuationSeparator" w:id="0">
    <w:p w:rsidR="00FE5F1B" w:rsidRDefault="00FE5F1B" w:rsidP="00D71C2F">
      <w:pPr>
        <w:spacing w:after="0" w:line="240" w:lineRule="auto"/>
      </w:pPr>
      <w:r>
        <w:continuationSeparator/>
      </w:r>
    </w:p>
  </w:endnote>
  <w:endnote w:id="1">
    <w:p w:rsidR="00833AC9" w:rsidRPr="00763FC0" w:rsidRDefault="008A3AB1" w:rsidP="00833AC9">
      <w:pPr>
        <w:pStyle w:val="EndnoteText"/>
        <w:rPr>
          <w:rFonts w:ascii="Times New Roman" w:hAnsi="Times New Roman"/>
        </w:rPr>
      </w:pPr>
      <w:r w:rsidRPr="00763FC0">
        <w:rPr>
          <w:rStyle w:val="EndnoteReference"/>
          <w:rFonts w:ascii="Times New Roman" w:hAnsi="Times New Roman"/>
        </w:rPr>
        <w:endnoteRef/>
      </w:r>
      <w:r w:rsidRPr="00763FC0">
        <w:rPr>
          <w:rFonts w:ascii="Times New Roman" w:hAnsi="Times New Roman"/>
        </w:rPr>
        <w:t xml:space="preserve"> Lubienski, Weitzel and Lubienski, “Is There a Consensus on School Choice and Achievement?” 23 Educational Policy, no. 1 (January 2009), 161-193. </w:t>
      </w:r>
      <w:hyperlink r:id="rId1" w:history="1">
        <w:r w:rsidRPr="00763FC0">
          <w:rPr>
            <w:rStyle w:val="Hyperlink"/>
            <w:rFonts w:ascii="Times New Roman" w:hAnsi="Times New Roman"/>
          </w:rPr>
          <w:t>http://epx.sagepub/content/23/1/161.short</w:t>
        </w:r>
      </w:hyperlink>
      <w:r w:rsidR="00833AC9" w:rsidRPr="00763FC0">
        <w:rPr>
          <w:rFonts w:ascii="Times New Roman" w:hAnsi="Times New Roman"/>
        </w:rPr>
        <w:t xml:space="preserve"> </w:t>
      </w:r>
    </w:p>
    <w:p w:rsidR="008A3AB1" w:rsidRPr="00763FC0" w:rsidRDefault="00833AC9" w:rsidP="00833AC9">
      <w:pPr>
        <w:pStyle w:val="EndnoteText"/>
        <w:rPr>
          <w:rFonts w:ascii="Times New Roman" w:hAnsi="Times New Roman"/>
        </w:rPr>
      </w:pPr>
      <w:r w:rsidRPr="00763FC0">
        <w:rPr>
          <w:rFonts w:ascii="Times New Roman" w:hAnsi="Times New Roman"/>
        </w:rPr>
        <w:t>Lubienski and Lubienski, Charter, Private and Public Schools and Academic Achievement: New Evidence from NAEP Mathematics Data, National Center for the Study of Privatization in Education, 2006</w:t>
      </w:r>
      <w:r w:rsidR="004E6667" w:rsidRPr="00763FC0">
        <w:rPr>
          <w:rFonts w:ascii="Times New Roman" w:hAnsi="Times New Roman"/>
        </w:rPr>
        <w:t xml:space="preserve">. </w:t>
      </w:r>
      <w:r w:rsidRPr="00763FC0">
        <w:rPr>
          <w:rFonts w:ascii="Times New Roman" w:hAnsi="Times New Roman"/>
        </w:rPr>
        <w:t xml:space="preserve"> </w:t>
      </w:r>
      <w:hyperlink r:id="rId2" w:history="1">
        <w:r w:rsidR="004E6667" w:rsidRPr="00763FC0">
          <w:rPr>
            <w:rStyle w:val="Hyperlink"/>
            <w:rFonts w:ascii="Times New Roman" w:hAnsi="Times New Roman"/>
          </w:rPr>
          <w:t>https://ncspe.tc.columbia.edu/working-papers/OP111.pdf</w:t>
        </w:r>
      </w:hyperlink>
      <w:r w:rsidR="004E6667" w:rsidRPr="00763FC0">
        <w:rPr>
          <w:rFonts w:ascii="Times New Roman" w:hAnsi="Times New Roman"/>
        </w:rPr>
        <w:t xml:space="preserve"> </w:t>
      </w:r>
    </w:p>
    <w:p w:rsidR="004E6667" w:rsidRPr="00763FC0" w:rsidRDefault="004E6667" w:rsidP="004E6667">
      <w:pPr>
        <w:pStyle w:val="Default"/>
        <w:rPr>
          <w:sz w:val="20"/>
          <w:szCs w:val="20"/>
        </w:rPr>
      </w:pPr>
      <w:r w:rsidRPr="00763FC0">
        <w:rPr>
          <w:sz w:val="20"/>
          <w:szCs w:val="20"/>
        </w:rPr>
        <w:t xml:space="preserve">Pianta, Robert C., and Ansari, Arya, (2018), </w:t>
      </w:r>
      <w:r w:rsidRPr="00763FC0">
        <w:rPr>
          <w:i/>
          <w:sz w:val="20"/>
          <w:szCs w:val="20"/>
        </w:rPr>
        <w:t>Does Attendance in Private Schools Predict Outcomes at Age 15? Evidence From a Longitudinal Study.</w:t>
      </w:r>
      <w:r w:rsidRPr="00763FC0">
        <w:rPr>
          <w:sz w:val="20"/>
          <w:szCs w:val="20"/>
        </w:rPr>
        <w:t xml:space="preserve"> Educational Researcher XX, 1-16.</w:t>
      </w:r>
    </w:p>
    <w:p w:rsidR="004E6667" w:rsidRPr="00763FC0" w:rsidRDefault="004E6667" w:rsidP="002B35DF">
      <w:pPr>
        <w:pStyle w:val="Default"/>
        <w:rPr>
          <w:sz w:val="20"/>
          <w:szCs w:val="20"/>
        </w:rPr>
      </w:pPr>
      <w:r w:rsidRPr="00763FC0">
        <w:rPr>
          <w:sz w:val="20"/>
          <w:szCs w:val="20"/>
        </w:rPr>
        <w:t>Epple, Dennis &amp; Richard E. Romano &amp; Miguel Urquiola, 2017. "</w:t>
      </w:r>
      <w:hyperlink r:id="rId3" w:history="1">
        <w:r w:rsidRPr="00763FC0">
          <w:rPr>
            <w:color w:val="437696"/>
            <w:sz w:val="20"/>
            <w:szCs w:val="20"/>
            <w:u w:val="single"/>
          </w:rPr>
          <w:t>School Vouchers: A Survey of the Economics Literature,</w:t>
        </w:r>
      </w:hyperlink>
      <w:r w:rsidRPr="00763FC0">
        <w:rPr>
          <w:sz w:val="20"/>
          <w:szCs w:val="20"/>
        </w:rPr>
        <w:t>" Journal of Economic Literature, American Economic Association, vol. 55(2), pages 441-492, June.</w:t>
      </w:r>
    </w:p>
    <w:p w:rsidR="008A3AB1" w:rsidRPr="00763FC0" w:rsidRDefault="008A3AB1">
      <w:pPr>
        <w:pStyle w:val="EndnoteText"/>
        <w:rPr>
          <w:rFonts w:ascii="Times New Roman" w:hAnsi="Times New Roman"/>
        </w:rPr>
      </w:pPr>
    </w:p>
  </w:endnote>
  <w:endnote w:id="2">
    <w:p w:rsidR="00602E5A" w:rsidRDefault="00602E5A">
      <w:pPr>
        <w:pStyle w:val="EndnoteText"/>
        <w:rPr>
          <w:rFonts w:ascii="Times New Roman" w:hAnsi="Times New Roman"/>
        </w:rPr>
      </w:pPr>
      <w:r w:rsidRPr="00763FC0">
        <w:rPr>
          <w:rStyle w:val="EndnoteReference"/>
          <w:rFonts w:ascii="Times New Roman" w:hAnsi="Times New Roman"/>
        </w:rPr>
        <w:endnoteRef/>
      </w:r>
      <w:r w:rsidRPr="00763FC0">
        <w:rPr>
          <w:rFonts w:ascii="Times New Roman" w:hAnsi="Times New Roman"/>
        </w:rPr>
        <w:t xml:space="preserve"> Barth, Joan; Steele, Erika, and </w:t>
      </w:r>
      <w:r w:rsidRPr="00763FC0">
        <w:rPr>
          <w:rFonts w:ascii="Times New Roman" w:hAnsi="Times New Roman"/>
        </w:rPr>
        <w:t>Quennville, Garrett, Evaluation of the Alabama Accountability Act: Academic Achievement Test Outcomes of Scholarship Recipients 2016-17, The Institute for Social Science Research, University of Alabama, September 1, 2018.</w:t>
      </w:r>
    </w:p>
    <w:p w:rsidR="002B35DF" w:rsidRPr="00763FC0" w:rsidRDefault="002B35DF">
      <w:pPr>
        <w:pStyle w:val="EndnoteText"/>
        <w:rPr>
          <w:rFonts w:ascii="Times New Roman" w:hAnsi="Times New Roman"/>
        </w:rPr>
      </w:pPr>
    </w:p>
  </w:endnote>
  <w:endnote w:id="3">
    <w:p w:rsidR="00172488" w:rsidRPr="00763FC0" w:rsidRDefault="00172488">
      <w:pPr>
        <w:pStyle w:val="EndnoteText"/>
        <w:rPr>
          <w:rFonts w:ascii="Times New Roman" w:hAnsi="Times New Roman"/>
        </w:rPr>
      </w:pPr>
      <w:r w:rsidRPr="00763FC0">
        <w:rPr>
          <w:rStyle w:val="EndnoteReference"/>
          <w:rFonts w:ascii="Times New Roman" w:hAnsi="Times New Roman"/>
        </w:rPr>
        <w:endnoteRef/>
      </w:r>
      <w:r w:rsidRPr="00763FC0">
        <w:rPr>
          <w:rFonts w:ascii="Times New Roman" w:hAnsi="Times New Roman"/>
        </w:rPr>
        <w:t xml:space="preserve"> </w:t>
      </w:r>
      <w:r w:rsidRPr="00763FC0">
        <w:rPr>
          <w:rFonts w:ascii="Times New Roman" w:hAnsi="Times New Roman"/>
        </w:rPr>
        <w:t xml:space="preserve">Dynarski, M., Rui, N., Webber, A., Gutmann, </w:t>
      </w:r>
      <w:r w:rsidRPr="00763FC0">
        <w:rPr>
          <w:rFonts w:ascii="Times New Roman" w:hAnsi="Times New Roman"/>
        </w:rPr>
        <w:t>B. Evaluation of the DC Opportunity Scholarship Program: Impacts After One Year (NCEE 2017-4022). Washington, DC: National Center for Education Evaluation and Regional Assistance, Institute of Education Sciences, U.S. Department of Education</w:t>
      </w:r>
    </w:p>
    <w:p w:rsidR="00172488" w:rsidRPr="00763FC0" w:rsidRDefault="00FE5F1B">
      <w:pPr>
        <w:pStyle w:val="EndnoteText"/>
        <w:rPr>
          <w:rFonts w:ascii="Times New Roman" w:hAnsi="Times New Roman"/>
        </w:rPr>
      </w:pPr>
      <w:hyperlink r:id="rId4" w:history="1">
        <w:r w:rsidR="00172488" w:rsidRPr="00763FC0">
          <w:rPr>
            <w:rStyle w:val="Hyperlink"/>
            <w:rFonts w:ascii="Times New Roman" w:hAnsi="Times New Roman"/>
          </w:rPr>
          <w:t>https://ies.ed.gov/ncee/pubs/20174022/pdf/20174022.pdf</w:t>
        </w:r>
      </w:hyperlink>
      <w:r w:rsidR="00172488" w:rsidRPr="00763FC0">
        <w:rPr>
          <w:rFonts w:ascii="Times New Roman" w:hAnsi="Times New Roman"/>
        </w:rPr>
        <w:t xml:space="preserve"> </w:t>
      </w:r>
    </w:p>
  </w:endnote>
  <w:endnote w:id="4">
    <w:p w:rsidR="002B35DF" w:rsidRDefault="002B35DF" w:rsidP="00F814BC">
      <w:pPr>
        <w:spacing w:after="0" w:line="240" w:lineRule="auto"/>
        <w:rPr>
          <w:rFonts w:ascii="Times New Roman" w:hAnsi="Times New Roman" w:cs="Times New Roman"/>
          <w:sz w:val="20"/>
          <w:szCs w:val="20"/>
        </w:rPr>
      </w:pPr>
    </w:p>
    <w:p w:rsidR="00F814BC" w:rsidRPr="00763FC0" w:rsidRDefault="00F814BC" w:rsidP="00F814BC">
      <w:pPr>
        <w:spacing w:after="0" w:line="240" w:lineRule="auto"/>
        <w:rPr>
          <w:rFonts w:ascii="Times New Roman" w:eastAsia="Times New Roman" w:hAnsi="Times New Roman" w:cs="Times New Roman"/>
          <w:color w:val="4D4D4D"/>
          <w:sz w:val="20"/>
          <w:szCs w:val="20"/>
        </w:rPr>
      </w:pPr>
      <w:r w:rsidRPr="00763FC0">
        <w:rPr>
          <w:rStyle w:val="EndnoteReference"/>
          <w:rFonts w:ascii="Times New Roman" w:hAnsi="Times New Roman" w:cs="Times New Roman"/>
          <w:sz w:val="20"/>
          <w:szCs w:val="20"/>
        </w:rPr>
        <w:endnoteRef/>
      </w:r>
      <w:r w:rsidRPr="00763FC0">
        <w:rPr>
          <w:rFonts w:ascii="Times New Roman" w:hAnsi="Times New Roman" w:cs="Times New Roman"/>
          <w:sz w:val="20"/>
          <w:szCs w:val="20"/>
        </w:rPr>
        <w:t xml:space="preserve"> </w:t>
      </w:r>
      <w:r w:rsidRPr="00763FC0">
        <w:rPr>
          <w:rFonts w:ascii="Times New Roman" w:hAnsi="Times New Roman" w:cs="Times New Roman"/>
          <w:sz w:val="20"/>
          <w:szCs w:val="20"/>
        </w:rPr>
        <w:t xml:space="preserve">Figlio, David. “Evaluation of the Florida Tax Credit Scholarship Program Participation, Compliance and Test Scores in 2010-11,” National Bureau of Economic Research, (August 2012) </w:t>
      </w:r>
      <w:hyperlink r:id="rId5" w:history="1">
        <w:r w:rsidRPr="00763FC0">
          <w:rPr>
            <w:rStyle w:val="Hyperlink"/>
            <w:rFonts w:ascii="Times New Roman" w:eastAsia="Times New Roman" w:hAnsi="Times New Roman" w:cs="Times New Roman"/>
            <w:sz w:val="20"/>
            <w:szCs w:val="20"/>
          </w:rPr>
          <w:t>http://www.floridaschoolchoice.org/pdf/FTC_Research_2010-11_report.pdf</w:t>
        </w:r>
      </w:hyperlink>
      <w:r w:rsidRPr="00763FC0">
        <w:rPr>
          <w:rFonts w:ascii="Times New Roman" w:eastAsia="Times New Roman" w:hAnsi="Times New Roman" w:cs="Times New Roman"/>
          <w:color w:val="4D4D4D"/>
          <w:sz w:val="20"/>
          <w:szCs w:val="20"/>
        </w:rPr>
        <w:t xml:space="preserve"> </w:t>
      </w:r>
    </w:p>
    <w:p w:rsidR="00F814BC" w:rsidRPr="00763FC0" w:rsidRDefault="00F814BC" w:rsidP="00F814BC">
      <w:pPr>
        <w:autoSpaceDE w:val="0"/>
        <w:autoSpaceDN w:val="0"/>
        <w:adjustRightInd w:val="0"/>
        <w:spacing w:after="0" w:line="240" w:lineRule="auto"/>
        <w:rPr>
          <w:rFonts w:ascii="Times New Roman" w:hAnsi="Times New Roman" w:cs="Times New Roman"/>
          <w:sz w:val="20"/>
          <w:szCs w:val="20"/>
        </w:rPr>
      </w:pPr>
      <w:r w:rsidRPr="00763FC0">
        <w:rPr>
          <w:rFonts w:ascii="Times New Roman" w:hAnsi="Times New Roman" w:cs="Times New Roman"/>
          <w:sz w:val="20"/>
          <w:szCs w:val="20"/>
        </w:rPr>
        <w:t xml:space="preserve">See also, David Figlio, </w:t>
      </w:r>
      <w:r w:rsidRPr="00763FC0">
        <w:rPr>
          <w:rFonts w:ascii="Times New Roman" w:hAnsi="Times New Roman" w:cs="Times New Roman"/>
          <w:i/>
          <w:iCs/>
          <w:sz w:val="20"/>
          <w:szCs w:val="20"/>
        </w:rPr>
        <w:t>Evaluation of Florida’s Corporate Tax Credit Scholarship Program First Follow-Up Report—Participation,Compliance and Test Scores in 2007-08</w:t>
      </w:r>
      <w:r w:rsidRPr="00763FC0">
        <w:rPr>
          <w:rFonts w:ascii="Times New Roman" w:hAnsi="Times New Roman" w:cs="Times New Roman"/>
          <w:sz w:val="20"/>
          <w:szCs w:val="20"/>
        </w:rPr>
        <w:t xml:space="preserve">, 2009;  </w:t>
      </w:r>
      <w:hyperlink r:id="rId6" w:history="1">
        <w:r w:rsidRPr="00763FC0">
          <w:rPr>
            <w:rStyle w:val="Hyperlink"/>
            <w:rFonts w:ascii="Times New Roman" w:hAnsi="Times New Roman" w:cs="Times New Roman"/>
            <w:sz w:val="20"/>
            <w:szCs w:val="20"/>
          </w:rPr>
          <w:t>http://www.floridaschoolchoice.org/information/ctc/files/figlio_report_2009.pdf</w:t>
        </w:r>
      </w:hyperlink>
      <w:r w:rsidRPr="00763FC0">
        <w:rPr>
          <w:rFonts w:ascii="Times New Roman" w:hAnsi="Times New Roman" w:cs="Times New Roman"/>
          <w:sz w:val="20"/>
          <w:szCs w:val="20"/>
        </w:rPr>
        <w:t xml:space="preserve"> </w:t>
      </w:r>
    </w:p>
    <w:p w:rsidR="00F814BC" w:rsidRPr="00763FC0" w:rsidRDefault="00F814BC" w:rsidP="00F814BC">
      <w:pPr>
        <w:pBdr>
          <w:left w:val="single" w:sz="18" w:space="8" w:color="CCCCCC"/>
        </w:pBdr>
        <w:spacing w:after="0" w:line="240" w:lineRule="auto"/>
        <w:rPr>
          <w:rFonts w:ascii="Times New Roman" w:eastAsia="Times New Roman" w:hAnsi="Times New Roman" w:cs="Times New Roman"/>
          <w:color w:val="4D4D4D"/>
          <w:sz w:val="20"/>
          <w:szCs w:val="20"/>
        </w:rPr>
      </w:pPr>
      <w:r w:rsidRPr="00763FC0">
        <w:rPr>
          <w:rFonts w:ascii="Times New Roman" w:eastAsia="Times New Roman" w:hAnsi="Times New Roman" w:cs="Times New Roman"/>
          <w:sz w:val="20"/>
          <w:szCs w:val="20"/>
        </w:rPr>
        <w:t>David Figlio and Cassandra Hart, "Competitive Effects of Means-Tested School Vouchers," National Bureau of Economic Research working paper #16056, June 2010</w:t>
      </w:r>
      <w:r w:rsidRPr="00763FC0">
        <w:rPr>
          <w:rFonts w:ascii="Times New Roman" w:eastAsia="Times New Roman" w:hAnsi="Times New Roman" w:cs="Times New Roman"/>
          <w:color w:val="4D4D4D"/>
          <w:sz w:val="20"/>
          <w:szCs w:val="20"/>
        </w:rPr>
        <w:t xml:space="preserve">, </w:t>
      </w:r>
      <w:hyperlink r:id="rId7" w:history="1">
        <w:r w:rsidRPr="00763FC0">
          <w:rPr>
            <w:rStyle w:val="Hyperlink"/>
            <w:rFonts w:ascii="Times New Roman" w:eastAsia="Times New Roman" w:hAnsi="Times New Roman" w:cs="Times New Roman"/>
            <w:sz w:val="20"/>
            <w:szCs w:val="20"/>
          </w:rPr>
          <w:t>http://www.nber.org/papers/w16056</w:t>
        </w:r>
      </w:hyperlink>
      <w:r w:rsidRPr="00763FC0">
        <w:rPr>
          <w:rFonts w:ascii="Times New Roman" w:eastAsia="Times New Roman" w:hAnsi="Times New Roman" w:cs="Times New Roman"/>
          <w:color w:val="4D4D4D"/>
          <w:sz w:val="20"/>
          <w:szCs w:val="20"/>
        </w:rPr>
        <w:t xml:space="preserve"> </w:t>
      </w:r>
    </w:p>
    <w:p w:rsidR="00F814BC" w:rsidRPr="00763FC0" w:rsidRDefault="00F814BC" w:rsidP="00F814BC">
      <w:pPr>
        <w:pBdr>
          <w:left w:val="single" w:sz="18" w:space="8" w:color="CCCCCC"/>
        </w:pBdr>
        <w:spacing w:after="0" w:line="240" w:lineRule="auto"/>
        <w:rPr>
          <w:rFonts w:ascii="Times New Roman" w:hAnsi="Times New Roman" w:cs="Times New Roman"/>
          <w:sz w:val="20"/>
          <w:szCs w:val="20"/>
        </w:rPr>
      </w:pPr>
    </w:p>
  </w:endnote>
  <w:endnote w:id="5">
    <w:p w:rsidR="00617EF2" w:rsidRPr="00617EF2" w:rsidRDefault="00617EF2" w:rsidP="00617EF2">
      <w:pPr>
        <w:pStyle w:val="EndnoteText"/>
        <w:rPr>
          <w:rFonts w:ascii="Times New Roman" w:eastAsiaTheme="minorHAnsi" w:hAnsi="Times New Roman"/>
        </w:rPr>
      </w:pPr>
      <w:r w:rsidRPr="00617EF2">
        <w:rPr>
          <w:rStyle w:val="EndnoteReference"/>
          <w:rFonts w:ascii="Times New Roman" w:hAnsi="Times New Roman"/>
        </w:rPr>
        <w:endnoteRef/>
      </w:r>
      <w:r w:rsidRPr="00617EF2">
        <w:rPr>
          <w:rFonts w:ascii="Times New Roman" w:hAnsi="Times New Roman"/>
        </w:rPr>
        <w:t xml:space="preserve"> </w:t>
      </w:r>
      <w:r w:rsidRPr="00617EF2">
        <w:rPr>
          <w:rFonts w:ascii="Times New Roman" w:eastAsiaTheme="minorHAnsi" w:hAnsi="Times New Roman"/>
          <w:color w:val="1C1D1E"/>
          <w:shd w:val="clear" w:color="auto" w:fill="FFFFFF"/>
        </w:rPr>
        <w:t xml:space="preserve">Waddington, R. J. and </w:t>
      </w:r>
      <w:r w:rsidRPr="00617EF2">
        <w:rPr>
          <w:rFonts w:ascii="Times New Roman" w:eastAsiaTheme="minorHAnsi" w:hAnsi="Times New Roman"/>
          <w:color w:val="1C1D1E"/>
          <w:shd w:val="clear" w:color="auto" w:fill="FFFFFF"/>
        </w:rPr>
        <w:t xml:space="preserve">Berends, M. (2018), </w:t>
      </w:r>
      <w:r w:rsidRPr="00617EF2">
        <w:rPr>
          <w:rFonts w:ascii="Times New Roman" w:eastAsiaTheme="minorHAnsi" w:hAnsi="Times New Roman"/>
          <w:color w:val="1C1D1E"/>
          <w:shd w:val="clear" w:color="auto" w:fill="FFFFFF"/>
        </w:rPr>
        <w:t>Impact of the Indiana Choice Scholarship Program: Achievement Effects for Students in Upper Elementary and Middle School. J. Pol. Anal. Manage., 37: 783-808. doi:</w:t>
      </w:r>
      <w:hyperlink r:id="rId8" w:history="1">
        <w:r w:rsidRPr="00617EF2">
          <w:rPr>
            <w:rFonts w:ascii="Times New Roman" w:eastAsiaTheme="minorHAnsi" w:hAnsi="Times New Roman"/>
            <w:color w:val="005274"/>
            <w:u w:val="single"/>
            <w:shd w:val="clear" w:color="auto" w:fill="FFFFFF"/>
          </w:rPr>
          <w:t>10.1002/pam.22086</w:t>
        </w:r>
      </w:hyperlink>
    </w:p>
    <w:p w:rsidR="00617EF2" w:rsidRDefault="00617EF2" w:rsidP="00617EF2">
      <w:pPr>
        <w:pStyle w:val="EndnoteText"/>
      </w:pPr>
    </w:p>
  </w:endnote>
  <w:endnote w:id="6">
    <w:p w:rsidR="00F814BC" w:rsidRPr="00763FC0" w:rsidRDefault="00F814BC" w:rsidP="00F814BC">
      <w:pPr>
        <w:pStyle w:val="Heading2"/>
        <w:shd w:val="clear" w:color="auto" w:fill="FFFFFF"/>
        <w:tabs>
          <w:tab w:val="left" w:pos="270"/>
        </w:tabs>
        <w:spacing w:before="0" w:line="240" w:lineRule="auto"/>
        <w:rPr>
          <w:rFonts w:ascii="Times New Roman" w:eastAsia="Times New Roman" w:hAnsi="Times New Roman" w:cs="Times New Roman"/>
          <w:color w:val="auto"/>
          <w:sz w:val="20"/>
          <w:szCs w:val="20"/>
        </w:rPr>
      </w:pPr>
      <w:r w:rsidRPr="00763FC0">
        <w:rPr>
          <w:rStyle w:val="EndnoteReference"/>
          <w:rFonts w:ascii="Times New Roman" w:hAnsi="Times New Roman" w:cs="Times New Roman"/>
          <w:color w:val="auto"/>
          <w:sz w:val="20"/>
          <w:szCs w:val="20"/>
        </w:rPr>
        <w:endnoteRef/>
      </w:r>
      <w:r w:rsidRPr="00763FC0">
        <w:rPr>
          <w:rFonts w:ascii="Times New Roman" w:hAnsi="Times New Roman" w:cs="Times New Roman"/>
          <w:color w:val="auto"/>
          <w:sz w:val="20"/>
          <w:szCs w:val="20"/>
        </w:rPr>
        <w:t xml:space="preserve"> </w:t>
      </w:r>
      <w:r w:rsidRPr="00763FC0">
        <w:rPr>
          <w:rFonts w:ascii="Times New Roman" w:eastAsia="Times New Roman" w:hAnsi="Times New Roman" w:cs="Times New Roman"/>
          <w:bCs/>
          <w:color w:val="auto"/>
          <w:sz w:val="20"/>
          <w:szCs w:val="20"/>
        </w:rPr>
        <w:t>Waddington</w:t>
      </w:r>
      <w:r w:rsidRPr="00763FC0">
        <w:rPr>
          <w:rFonts w:ascii="Times New Roman" w:eastAsia="Times New Roman" w:hAnsi="Times New Roman" w:cs="Times New Roman"/>
          <w:color w:val="auto"/>
          <w:sz w:val="20"/>
          <w:szCs w:val="20"/>
        </w:rPr>
        <w:t xml:space="preserve">, </w:t>
      </w:r>
      <w:r w:rsidRPr="00763FC0">
        <w:rPr>
          <w:rFonts w:ascii="Times New Roman" w:eastAsia="Times New Roman" w:hAnsi="Times New Roman" w:cs="Times New Roman"/>
          <w:bCs/>
          <w:color w:val="auto"/>
          <w:sz w:val="20"/>
          <w:szCs w:val="20"/>
        </w:rPr>
        <w:t xml:space="preserve">R. Joseph and </w:t>
      </w:r>
      <w:r w:rsidRPr="00763FC0">
        <w:rPr>
          <w:rFonts w:ascii="Times New Roman" w:eastAsia="Times New Roman" w:hAnsi="Times New Roman" w:cs="Times New Roman"/>
          <w:bCs/>
          <w:color w:val="auto"/>
          <w:sz w:val="20"/>
          <w:szCs w:val="20"/>
        </w:rPr>
        <w:t xml:space="preserve">Berends, Mark, </w:t>
      </w:r>
      <w:r w:rsidRPr="00763FC0">
        <w:rPr>
          <w:rFonts w:ascii="Times New Roman" w:eastAsia="Times New Roman" w:hAnsi="Times New Roman" w:cs="Times New Roman"/>
          <w:bCs/>
          <w:i/>
          <w:color w:val="auto"/>
          <w:sz w:val="20"/>
          <w:szCs w:val="20"/>
        </w:rPr>
        <w:t>Vouchers in the Crossroads: Heterogeneous Impacts on Student Achievement and Attendance Across Private Schools in Indiana</w:t>
      </w:r>
      <w:r w:rsidRPr="00763FC0">
        <w:rPr>
          <w:rFonts w:ascii="Times New Roman" w:eastAsia="Times New Roman" w:hAnsi="Times New Roman" w:cs="Times New Roman"/>
          <w:bCs/>
          <w:color w:val="auto"/>
          <w:sz w:val="20"/>
          <w:szCs w:val="20"/>
        </w:rPr>
        <w:t>, presented</w:t>
      </w:r>
      <w:r w:rsidRPr="00763FC0">
        <w:rPr>
          <w:rFonts w:ascii="Times New Roman" w:eastAsia="Times New Roman" w:hAnsi="Times New Roman" w:cs="Times New Roman"/>
          <w:color w:val="auto"/>
          <w:sz w:val="20"/>
          <w:szCs w:val="20"/>
        </w:rPr>
        <w:t xml:space="preserve"> November 14, 2015  APPAM research conference. Not published.</w:t>
      </w:r>
    </w:p>
    <w:p w:rsidR="00F814BC" w:rsidRPr="00763FC0" w:rsidRDefault="00F814BC" w:rsidP="00F814BC">
      <w:pPr>
        <w:pStyle w:val="EndnoteText"/>
        <w:rPr>
          <w:rFonts w:ascii="Times New Roman" w:hAnsi="Times New Roman"/>
        </w:rPr>
      </w:pPr>
    </w:p>
  </w:endnote>
  <w:endnote w:id="7">
    <w:p w:rsidR="00F814BC" w:rsidRPr="00763FC0" w:rsidRDefault="00F814BC" w:rsidP="00F814BC">
      <w:pPr>
        <w:pStyle w:val="EndnoteText"/>
        <w:rPr>
          <w:rFonts w:ascii="Times New Roman" w:hAnsi="Times New Roman"/>
        </w:rPr>
      </w:pPr>
      <w:r w:rsidRPr="00763FC0">
        <w:rPr>
          <w:rStyle w:val="EndnoteReference"/>
          <w:rFonts w:ascii="Times New Roman" w:hAnsi="Times New Roman"/>
        </w:rPr>
        <w:endnoteRef/>
      </w:r>
      <w:r w:rsidRPr="00763FC0">
        <w:rPr>
          <w:rFonts w:ascii="Times New Roman" w:hAnsi="Times New Roman"/>
        </w:rPr>
        <w:t xml:space="preserve"> </w:t>
      </w:r>
      <w:hyperlink r:id="rId9" w:history="1">
        <w:r w:rsidRPr="00763FC0">
          <w:rPr>
            <w:rStyle w:val="Hyperlink"/>
            <w:rFonts w:ascii="Times New Roman" w:hAnsi="Times New Roman"/>
          </w:rPr>
          <w:t>http://www.louisianaschools.net/lde/uploads</w:t>
        </w:r>
      </w:hyperlink>
    </w:p>
  </w:endnote>
  <w:endnote w:id="8">
    <w:p w:rsidR="00F814BC" w:rsidRPr="00763FC0" w:rsidRDefault="00F814BC" w:rsidP="00F814BC">
      <w:pPr>
        <w:pStyle w:val="EndnoteText"/>
        <w:rPr>
          <w:rFonts w:ascii="Times New Roman" w:hAnsi="Times New Roman"/>
        </w:rPr>
      </w:pPr>
      <w:r w:rsidRPr="00763FC0">
        <w:rPr>
          <w:rStyle w:val="EndnoteReference"/>
          <w:rFonts w:ascii="Times New Roman" w:hAnsi="Times New Roman"/>
        </w:rPr>
        <w:endnoteRef/>
      </w:r>
      <w:r w:rsidRPr="00763FC0">
        <w:rPr>
          <w:rFonts w:ascii="Times New Roman" w:hAnsi="Times New Roman"/>
        </w:rPr>
        <w:t xml:space="preserve"> Louisiana Legislative Auditor, Student Scholarships for Educational Excellence Program, Department of Education, Performance Audit, December 11, 2013.</w:t>
      </w:r>
    </w:p>
  </w:endnote>
  <w:endnote w:id="9">
    <w:p w:rsidR="00F814BC" w:rsidRPr="00763FC0" w:rsidRDefault="00F814BC" w:rsidP="00F814BC">
      <w:pPr>
        <w:pStyle w:val="Heading1"/>
        <w:spacing w:before="0" w:beforeAutospacing="0" w:after="0" w:afterAutospacing="0"/>
        <w:rPr>
          <w:sz w:val="20"/>
          <w:szCs w:val="20"/>
        </w:rPr>
      </w:pPr>
    </w:p>
    <w:p w:rsidR="00F814BC" w:rsidRPr="00763FC0" w:rsidRDefault="00F814BC" w:rsidP="00F814BC">
      <w:pPr>
        <w:pStyle w:val="Heading1"/>
        <w:spacing w:before="0" w:beforeAutospacing="0" w:after="0" w:afterAutospacing="0"/>
        <w:rPr>
          <w:i/>
          <w:sz w:val="20"/>
          <w:szCs w:val="20"/>
        </w:rPr>
      </w:pPr>
      <w:r w:rsidRPr="00763FC0">
        <w:rPr>
          <w:rStyle w:val="EndnoteReference"/>
          <w:sz w:val="20"/>
          <w:szCs w:val="20"/>
        </w:rPr>
        <w:endnoteRef/>
      </w:r>
      <w:r w:rsidRPr="00763FC0">
        <w:rPr>
          <w:sz w:val="20"/>
          <w:szCs w:val="20"/>
        </w:rPr>
        <w:t xml:space="preserve"> </w:t>
      </w:r>
      <w:r w:rsidRPr="00763FC0">
        <w:rPr>
          <w:b w:val="0"/>
          <w:i/>
          <w:color w:val="363636"/>
          <w:sz w:val="20"/>
          <w:szCs w:val="20"/>
        </w:rPr>
        <w:t xml:space="preserve">Louisiana voucher school scores remain low in 2014, </w:t>
      </w:r>
      <w:hyperlink r:id="rId10" w:history="1">
        <w:r w:rsidRPr="00763FC0">
          <w:rPr>
            <w:rStyle w:val="Hyperlink"/>
            <w:b w:val="0"/>
            <w:i/>
            <w:sz w:val="20"/>
            <w:szCs w:val="20"/>
          </w:rPr>
          <w:t>h</w:t>
        </w:r>
        <w:r w:rsidRPr="00763FC0">
          <w:rPr>
            <w:rStyle w:val="Hyperlink"/>
            <w:i/>
            <w:sz w:val="20"/>
            <w:szCs w:val="20"/>
          </w:rPr>
          <w:t>ttp://www.nola.com/education/index.ssf/2014/11/louisiana_voucher_student_perf.html</w:t>
        </w:r>
      </w:hyperlink>
      <w:r w:rsidRPr="00763FC0">
        <w:rPr>
          <w:i/>
          <w:sz w:val="20"/>
          <w:szCs w:val="20"/>
        </w:rPr>
        <w:t xml:space="preserve">  </w:t>
      </w:r>
    </w:p>
    <w:p w:rsidR="00F814BC" w:rsidRPr="00763FC0" w:rsidRDefault="00F814BC" w:rsidP="00F814BC">
      <w:pPr>
        <w:pStyle w:val="EndnoteText"/>
        <w:rPr>
          <w:rFonts w:ascii="Times New Roman" w:hAnsi="Times New Roman"/>
        </w:rPr>
      </w:pPr>
    </w:p>
  </w:endnote>
  <w:endnote w:id="10">
    <w:p w:rsidR="00F814BC" w:rsidRDefault="00F814BC" w:rsidP="00F814BC">
      <w:pPr>
        <w:pStyle w:val="EndnoteText"/>
        <w:rPr>
          <w:rFonts w:ascii="Times New Roman" w:hAnsi="Times New Roman"/>
        </w:rPr>
      </w:pPr>
      <w:r w:rsidRPr="00763FC0">
        <w:rPr>
          <w:rStyle w:val="EndnoteReference"/>
          <w:rFonts w:ascii="Times New Roman" w:hAnsi="Times New Roman"/>
        </w:rPr>
        <w:endnoteRef/>
      </w:r>
      <w:r w:rsidRPr="00763FC0">
        <w:rPr>
          <w:rFonts w:ascii="Times New Roman" w:hAnsi="Times New Roman"/>
        </w:rPr>
        <w:t xml:space="preserve"> </w:t>
      </w:r>
      <w:r w:rsidRPr="00763FC0">
        <w:rPr>
          <w:rFonts w:ascii="Times New Roman" w:hAnsi="Times New Roman"/>
        </w:rPr>
        <w:t xml:space="preserve">Abdulkadiroglu, Atila; Pathak, Parag; and Walters, Christopher, </w:t>
      </w:r>
      <w:r w:rsidRPr="00763FC0">
        <w:rPr>
          <w:rFonts w:ascii="Times New Roman" w:hAnsi="Times New Roman"/>
          <w:i/>
        </w:rPr>
        <w:t xml:space="preserve">School Vouchers and Student Achievement: First-Year Evidence </w:t>
      </w:r>
      <w:r w:rsidRPr="00763FC0">
        <w:rPr>
          <w:rFonts w:ascii="Times New Roman" w:hAnsi="Times New Roman"/>
          <w:i/>
        </w:rPr>
        <w:t xml:space="preserve">From the Louisiana Scholarship Program. </w:t>
      </w:r>
      <w:r w:rsidRPr="00763FC0">
        <w:rPr>
          <w:rFonts w:ascii="Times New Roman" w:hAnsi="Times New Roman"/>
        </w:rPr>
        <w:t xml:space="preserve">National Bureau of Economic Research, Working Paper 21839 (December 2015) </w:t>
      </w:r>
      <w:hyperlink r:id="rId11" w:history="1">
        <w:r w:rsidRPr="00763FC0">
          <w:rPr>
            <w:rStyle w:val="Hyperlink"/>
            <w:rFonts w:ascii="Times New Roman" w:hAnsi="Times New Roman"/>
          </w:rPr>
          <w:t>http://www.nber.org/papers/w21839</w:t>
        </w:r>
      </w:hyperlink>
      <w:r w:rsidRPr="00763FC0">
        <w:rPr>
          <w:rFonts w:ascii="Times New Roman" w:hAnsi="Times New Roman"/>
        </w:rPr>
        <w:t xml:space="preserve">. </w:t>
      </w:r>
    </w:p>
    <w:p w:rsidR="002B35DF" w:rsidRPr="00763FC0" w:rsidRDefault="002B35DF" w:rsidP="00F814BC">
      <w:pPr>
        <w:pStyle w:val="EndnoteText"/>
        <w:rPr>
          <w:rFonts w:ascii="Times New Roman" w:hAnsi="Times New Roman"/>
        </w:rPr>
      </w:pPr>
    </w:p>
  </w:endnote>
  <w:endnote w:id="11">
    <w:p w:rsidR="00CC272F" w:rsidRDefault="00CC272F" w:rsidP="007E1E90">
      <w:pPr>
        <w:spacing w:line="240" w:lineRule="auto"/>
      </w:pPr>
      <w:r>
        <w:rPr>
          <w:rStyle w:val="EndnoteReference"/>
        </w:rPr>
        <w:endnoteRef/>
      </w:r>
      <w:r>
        <w:t xml:space="preserve"> </w:t>
      </w:r>
      <w:r w:rsidRPr="00CC272F">
        <w:rPr>
          <w:rFonts w:ascii="Times New Roman" w:hAnsi="Times New Roman" w:cs="Times New Roman"/>
          <w:sz w:val="20"/>
          <w:szCs w:val="20"/>
        </w:rPr>
        <w:t xml:space="preserve">Mills and Wolf, How Has the Louisiana Scholarship Program Affected Students? A Comprehensive Summary of Effects After Three Years, Education Research Alliance for New Orleans/School Choice Demonstration Project, June 2017 </w:t>
      </w:r>
      <w:hyperlink r:id="rId12" w:history="1">
        <w:r w:rsidRPr="00CC272F">
          <w:rPr>
            <w:rStyle w:val="Hyperlink"/>
            <w:rFonts w:ascii="Times New Roman" w:hAnsi="Times New Roman" w:cs="Times New Roman"/>
            <w:sz w:val="20"/>
            <w:szCs w:val="20"/>
          </w:rPr>
          <w:t>http://educationresearchalliancenola.org/files/publications/ERA1706-Policy-Brief-Louisiana-Scholarship-Program-170626.pdf</w:t>
        </w:r>
      </w:hyperlink>
      <w:r w:rsidRPr="00763FC0">
        <w:rPr>
          <w:rFonts w:ascii="Times New Roman" w:hAnsi="Times New Roman" w:cs="Times New Roman"/>
          <w:sz w:val="24"/>
          <w:szCs w:val="24"/>
        </w:rPr>
        <w:t xml:space="preserve"> </w:t>
      </w:r>
    </w:p>
  </w:endnote>
  <w:endnote w:id="12">
    <w:p w:rsidR="009A3069" w:rsidRPr="009A3069" w:rsidRDefault="009A3069" w:rsidP="009A3069">
      <w:pPr>
        <w:spacing w:after="0" w:line="240" w:lineRule="auto"/>
        <w:rPr>
          <w:rFonts w:ascii="Times New Roman" w:hAnsi="Times New Roman" w:cs="Times New Roman"/>
          <w:sz w:val="20"/>
          <w:szCs w:val="20"/>
        </w:rPr>
      </w:pPr>
      <w:r w:rsidRPr="009A3069">
        <w:rPr>
          <w:rStyle w:val="EndnoteReference"/>
          <w:rFonts w:ascii="Times New Roman" w:hAnsi="Times New Roman" w:cs="Times New Roman"/>
          <w:sz w:val="20"/>
          <w:szCs w:val="20"/>
        </w:rPr>
        <w:endnoteRef/>
      </w:r>
      <w:r w:rsidRPr="009A3069">
        <w:rPr>
          <w:rFonts w:ascii="Times New Roman" w:hAnsi="Times New Roman" w:cs="Times New Roman"/>
          <w:sz w:val="20"/>
          <w:szCs w:val="20"/>
        </w:rPr>
        <w:t xml:space="preserve"> School Vouchers in North Carolina: The First Three Years</w:t>
      </w:r>
      <w:r w:rsidR="007E1E90">
        <w:rPr>
          <w:rFonts w:ascii="Times New Roman" w:hAnsi="Times New Roman" w:cs="Times New Roman"/>
          <w:sz w:val="20"/>
          <w:szCs w:val="20"/>
        </w:rPr>
        <w:t xml:space="preserve">, </w:t>
      </w:r>
      <w:r w:rsidRPr="009A3069">
        <w:rPr>
          <w:rFonts w:ascii="Times New Roman" w:hAnsi="Times New Roman" w:cs="Times New Roman"/>
          <w:sz w:val="20"/>
          <w:szCs w:val="20"/>
        </w:rPr>
        <w:t xml:space="preserve">A Report issued by Children’s Law Clinic, Duke Law School (March 2017) </w:t>
      </w:r>
      <w:hyperlink r:id="rId13" w:history="1">
        <w:r w:rsidRPr="009A3069">
          <w:rPr>
            <w:rStyle w:val="Hyperlink"/>
            <w:rFonts w:ascii="Times New Roman" w:hAnsi="Times New Roman" w:cs="Times New Roman"/>
            <w:sz w:val="20"/>
            <w:szCs w:val="20"/>
          </w:rPr>
          <w:t>https://law.duke.edu/childedlaw/docs/School_Vouchers_NC.pdf</w:t>
        </w:r>
      </w:hyperlink>
      <w:r w:rsidRPr="009A3069">
        <w:rPr>
          <w:rFonts w:ascii="Times New Roman" w:hAnsi="Times New Roman" w:cs="Times New Roman"/>
          <w:sz w:val="20"/>
          <w:szCs w:val="20"/>
        </w:rPr>
        <w:t xml:space="preserve"> </w:t>
      </w:r>
    </w:p>
    <w:p w:rsidR="009A3069" w:rsidRDefault="009A3069" w:rsidP="009A3069">
      <w:pPr>
        <w:pStyle w:val="EndnoteText"/>
      </w:pPr>
    </w:p>
  </w:endnote>
  <w:endnote w:id="13">
    <w:p w:rsidR="006F195A" w:rsidRDefault="006F195A" w:rsidP="006F195A">
      <w:pPr>
        <w:pStyle w:val="EndnoteText"/>
        <w:rPr>
          <w:rFonts w:ascii="Times New Roman" w:hAnsi="Times New Roman"/>
        </w:rPr>
      </w:pPr>
      <w:r w:rsidRPr="00763FC0">
        <w:rPr>
          <w:rStyle w:val="EndnoteReference"/>
          <w:rFonts w:ascii="Times New Roman" w:hAnsi="Times New Roman"/>
        </w:rPr>
        <w:endnoteRef/>
      </w:r>
      <w:r w:rsidRPr="00763FC0">
        <w:rPr>
          <w:rFonts w:ascii="Times New Roman" w:hAnsi="Times New Roman"/>
        </w:rPr>
        <w:t xml:space="preserve"> </w:t>
      </w:r>
      <w:r w:rsidRPr="00763FC0">
        <w:rPr>
          <w:rFonts w:ascii="Times New Roman" w:hAnsi="Times New Roman"/>
        </w:rPr>
        <w:t xml:space="preserve">Figlio, David and Karbownik, </w:t>
      </w:r>
      <w:r w:rsidRPr="00763FC0">
        <w:rPr>
          <w:rFonts w:ascii="Times New Roman" w:hAnsi="Times New Roman"/>
          <w:i/>
        </w:rPr>
        <w:t>Evaluation of Ohio’s EdChoice Scholarship Program: Selection, Competition, and Performance Effects,</w:t>
      </w:r>
      <w:r w:rsidRPr="00763FC0">
        <w:rPr>
          <w:rFonts w:ascii="Times New Roman" w:hAnsi="Times New Roman"/>
        </w:rPr>
        <w:t xml:space="preserve"> Fordham Institute (July 2016).</w:t>
      </w:r>
    </w:p>
    <w:p w:rsidR="002B35DF" w:rsidRPr="00763FC0" w:rsidRDefault="002B35DF" w:rsidP="006F195A">
      <w:pPr>
        <w:pStyle w:val="EndnoteText"/>
        <w:rPr>
          <w:rFonts w:ascii="Times New Roman" w:hAnsi="Times New Roman"/>
        </w:rPr>
      </w:pPr>
    </w:p>
  </w:endnote>
  <w:endnote w:id="14">
    <w:p w:rsidR="00587E8A" w:rsidRPr="00763FC0" w:rsidRDefault="00587E8A" w:rsidP="00587E8A">
      <w:pPr>
        <w:pStyle w:val="Default"/>
        <w:rPr>
          <w:sz w:val="20"/>
          <w:szCs w:val="20"/>
        </w:rPr>
      </w:pPr>
      <w:r w:rsidRPr="00763FC0">
        <w:rPr>
          <w:rStyle w:val="EndnoteReference"/>
          <w:sz w:val="20"/>
          <w:szCs w:val="20"/>
        </w:rPr>
        <w:endnoteRef/>
      </w:r>
      <w:r w:rsidRPr="00763FC0">
        <w:rPr>
          <w:sz w:val="20"/>
          <w:szCs w:val="20"/>
        </w:rPr>
        <w:t xml:space="preserve"> </w:t>
      </w:r>
      <w:r w:rsidRPr="00763FC0">
        <w:rPr>
          <w:sz w:val="20"/>
          <w:szCs w:val="20"/>
        </w:rPr>
        <w:t xml:space="preserve">Plucker et al. </w:t>
      </w:r>
      <w:r w:rsidRPr="00763FC0">
        <w:rPr>
          <w:i/>
          <w:iCs/>
          <w:sz w:val="20"/>
          <w:szCs w:val="20"/>
        </w:rPr>
        <w:t>Evaluation of the Cleveland Scholarship and Tutoring Program, Summary Report, 1998-2004</w:t>
      </w:r>
      <w:r w:rsidRPr="00763FC0">
        <w:rPr>
          <w:iCs/>
          <w:sz w:val="20"/>
          <w:szCs w:val="20"/>
        </w:rPr>
        <w:t xml:space="preserve"> Center for Evaluation and Education Policy, Indiana University</w:t>
      </w:r>
      <w:r w:rsidRPr="00763FC0">
        <w:rPr>
          <w:i/>
          <w:iCs/>
          <w:sz w:val="20"/>
          <w:szCs w:val="20"/>
        </w:rPr>
        <w:t xml:space="preserve"> </w:t>
      </w:r>
      <w:r w:rsidRPr="00763FC0">
        <w:rPr>
          <w:sz w:val="20"/>
          <w:szCs w:val="20"/>
        </w:rPr>
        <w:t xml:space="preserve">(Feb. 2006). </w:t>
      </w:r>
      <w:hyperlink r:id="rId14" w:history="1">
        <w:r w:rsidRPr="00763FC0">
          <w:rPr>
            <w:rStyle w:val="Hyperlink"/>
            <w:sz w:val="20"/>
            <w:szCs w:val="20"/>
          </w:rPr>
          <w:t>http://ceep.indiana.edu/projects/PDF/2006_02_Clev_Summary.pdf</w:t>
        </w:r>
      </w:hyperlink>
      <w:r w:rsidRPr="00763FC0">
        <w:rPr>
          <w:sz w:val="20"/>
          <w:szCs w:val="20"/>
        </w:rPr>
        <w:t xml:space="preserve"> </w:t>
      </w:r>
    </w:p>
    <w:p w:rsidR="00587E8A" w:rsidRPr="00763FC0" w:rsidRDefault="00587E8A" w:rsidP="00587E8A">
      <w:pPr>
        <w:pStyle w:val="EndnoteText"/>
        <w:rPr>
          <w:rFonts w:ascii="Times New Roman" w:hAnsi="Times New Roman"/>
        </w:rPr>
      </w:pPr>
    </w:p>
  </w:endnote>
  <w:endnote w:id="15">
    <w:p w:rsidR="00587E8A" w:rsidRPr="00763FC0" w:rsidRDefault="00587E8A" w:rsidP="00587E8A">
      <w:pPr>
        <w:pStyle w:val="Default"/>
        <w:rPr>
          <w:sz w:val="20"/>
          <w:szCs w:val="20"/>
        </w:rPr>
      </w:pPr>
      <w:r w:rsidRPr="00763FC0">
        <w:rPr>
          <w:rStyle w:val="EndnoteReference"/>
          <w:sz w:val="20"/>
          <w:szCs w:val="20"/>
        </w:rPr>
        <w:endnoteRef/>
      </w:r>
      <w:r w:rsidRPr="00763FC0">
        <w:rPr>
          <w:sz w:val="20"/>
          <w:szCs w:val="20"/>
        </w:rPr>
        <w:t xml:space="preserve"> Belfield, </w:t>
      </w:r>
      <w:r w:rsidR="002B35DF">
        <w:rPr>
          <w:sz w:val="20"/>
          <w:szCs w:val="20"/>
        </w:rPr>
        <w:t xml:space="preserve">Clive. </w:t>
      </w:r>
      <w:r w:rsidRPr="00763FC0">
        <w:rPr>
          <w:i/>
          <w:sz w:val="20"/>
          <w:szCs w:val="20"/>
        </w:rPr>
        <w:t xml:space="preserve">The evidence on education vouchers: an application to the Cleveland scholarship and tutoring program. National center on the study of privatization in education, </w:t>
      </w:r>
      <w:r w:rsidRPr="00763FC0">
        <w:rPr>
          <w:sz w:val="20"/>
          <w:szCs w:val="20"/>
        </w:rPr>
        <w:t xml:space="preserve">2006. </w:t>
      </w:r>
      <w:hyperlink r:id="rId15" w:history="1">
        <w:r w:rsidRPr="00763FC0">
          <w:rPr>
            <w:rStyle w:val="Hyperlink"/>
            <w:sz w:val="20"/>
            <w:szCs w:val="20"/>
          </w:rPr>
          <w:t>http://www.ncspe.org/publications_files/OP112.pdf</w:t>
        </w:r>
      </w:hyperlink>
      <w:r w:rsidRPr="00763FC0">
        <w:rPr>
          <w:sz w:val="20"/>
          <w:szCs w:val="20"/>
        </w:rPr>
        <w:t xml:space="preserve"> </w:t>
      </w:r>
    </w:p>
    <w:p w:rsidR="00587E8A" w:rsidRPr="00763FC0" w:rsidRDefault="00587E8A" w:rsidP="00587E8A">
      <w:pPr>
        <w:pStyle w:val="EndnoteText"/>
        <w:rPr>
          <w:rFonts w:ascii="Times New Roman" w:hAnsi="Times New Roman"/>
        </w:rPr>
      </w:pPr>
    </w:p>
  </w:endnote>
  <w:endnote w:id="16">
    <w:p w:rsidR="006A4F4C" w:rsidRPr="00763FC0" w:rsidRDefault="006A4F4C" w:rsidP="00587E8A">
      <w:pPr>
        <w:shd w:val="clear" w:color="auto" w:fill="FFFFFF"/>
        <w:spacing w:after="0" w:line="240" w:lineRule="auto"/>
        <w:outlineLvl w:val="0"/>
        <w:rPr>
          <w:rFonts w:ascii="Times New Roman" w:eastAsia="Times New Roman" w:hAnsi="Times New Roman" w:cs="Times New Roman"/>
          <w:kern w:val="36"/>
          <w:sz w:val="20"/>
          <w:szCs w:val="20"/>
          <w:lang w:val="en"/>
        </w:rPr>
      </w:pPr>
      <w:r w:rsidRPr="00763FC0">
        <w:rPr>
          <w:rStyle w:val="EndnoteReference"/>
          <w:rFonts w:ascii="Times New Roman" w:hAnsi="Times New Roman" w:cs="Times New Roman"/>
          <w:sz w:val="20"/>
          <w:szCs w:val="20"/>
        </w:rPr>
        <w:endnoteRef/>
      </w:r>
      <w:r w:rsidRPr="00763FC0">
        <w:rPr>
          <w:rFonts w:ascii="Times New Roman" w:hAnsi="Times New Roman" w:cs="Times New Roman"/>
          <w:sz w:val="20"/>
          <w:szCs w:val="20"/>
        </w:rPr>
        <w:t xml:space="preserve"> </w:t>
      </w:r>
      <w:r w:rsidRPr="00763FC0">
        <w:rPr>
          <w:rFonts w:ascii="Times New Roman" w:eastAsia="Times New Roman" w:hAnsi="Times New Roman" w:cs="Times New Roman"/>
          <w:kern w:val="36"/>
          <w:sz w:val="20"/>
          <w:szCs w:val="20"/>
          <w:lang w:val="en"/>
        </w:rPr>
        <w:t xml:space="preserve">Legislative Audit Bureau, State of Wisconsin, August 2012 </w:t>
      </w:r>
      <w:hyperlink r:id="rId16" w:history="1">
        <w:r w:rsidRPr="00763FC0">
          <w:rPr>
            <w:rStyle w:val="Hyperlink"/>
            <w:rFonts w:ascii="Times New Roman" w:hAnsi="Times New Roman" w:cs="Times New Roman"/>
            <w:sz w:val="20"/>
            <w:szCs w:val="20"/>
            <w:lang w:val="en"/>
          </w:rPr>
          <w:t>http://legis.wisconsin.gov/lab/reports/12-14full.pdf</w:t>
        </w:r>
      </w:hyperlink>
      <w:r w:rsidRPr="00763FC0">
        <w:rPr>
          <w:rFonts w:ascii="Times New Roman" w:eastAsia="Times New Roman" w:hAnsi="Times New Roman" w:cs="Times New Roman"/>
          <w:kern w:val="36"/>
          <w:sz w:val="20"/>
          <w:szCs w:val="20"/>
          <w:lang w:val="en"/>
        </w:rPr>
        <w:t xml:space="preserve"> </w:t>
      </w:r>
    </w:p>
    <w:p w:rsidR="006A4F4C" w:rsidRPr="00763FC0" w:rsidRDefault="006A4F4C" w:rsidP="00587E8A">
      <w:pPr>
        <w:pStyle w:val="EndnoteText"/>
        <w:rPr>
          <w:rFonts w:ascii="Times New Roman" w:hAnsi="Times New Roman"/>
        </w:rPr>
      </w:pPr>
    </w:p>
  </w:endnote>
  <w:endnote w:id="17">
    <w:p w:rsidR="00B10170" w:rsidRPr="00763FC0" w:rsidRDefault="00B10170" w:rsidP="00587E8A">
      <w:pPr>
        <w:pStyle w:val="EndnoteText"/>
        <w:rPr>
          <w:rFonts w:ascii="Times New Roman" w:hAnsi="Times New Roman"/>
        </w:rPr>
      </w:pPr>
      <w:r w:rsidRPr="00763FC0">
        <w:rPr>
          <w:rStyle w:val="EndnoteReference"/>
          <w:rFonts w:ascii="Times New Roman" w:hAnsi="Times New Roman"/>
        </w:rPr>
        <w:endnoteRef/>
      </w:r>
      <w:r w:rsidRPr="00763FC0">
        <w:rPr>
          <w:rFonts w:ascii="Times New Roman" w:hAnsi="Times New Roman"/>
        </w:rPr>
        <w:t xml:space="preserve"> Wisconsin Department of Public Instruction, “Fourth year of school choice data,” DPI-NR 2014-48, April 8, 2014.</w:t>
      </w:r>
    </w:p>
    <w:p w:rsidR="00B10170" w:rsidRPr="00763FC0" w:rsidRDefault="00B10170" w:rsidP="00587E8A">
      <w:pPr>
        <w:pStyle w:val="EndnoteText"/>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9D6" w:rsidRDefault="00C619D6">
    <w:pPr>
      <w:pStyle w:val="Footer"/>
    </w:pPr>
    <w:r>
      <w:t>NEA Department of Education and Policy</w:t>
    </w:r>
    <w:r>
      <w:tab/>
    </w:r>
    <w:r w:rsidR="009A3069">
      <w:t>February 2019</w:t>
    </w:r>
    <w:r>
      <w:tab/>
    </w:r>
    <w:r>
      <w:fldChar w:fldCharType="begin"/>
    </w:r>
    <w:r>
      <w:instrText xml:space="preserve"> PAGE   \* MERGEFORMAT </w:instrText>
    </w:r>
    <w:r>
      <w:fldChar w:fldCharType="separate"/>
    </w:r>
    <w:r w:rsidR="00EB4B95">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F1B" w:rsidRDefault="00FE5F1B" w:rsidP="00D71C2F">
      <w:pPr>
        <w:spacing w:after="0" w:line="240" w:lineRule="auto"/>
      </w:pPr>
      <w:r>
        <w:separator/>
      </w:r>
    </w:p>
  </w:footnote>
  <w:footnote w:type="continuationSeparator" w:id="0">
    <w:p w:rsidR="00FE5F1B" w:rsidRDefault="00FE5F1B" w:rsidP="00D71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9D6" w:rsidRDefault="00FE5F1B">
    <w:pPr>
      <w:pStyle w:val="Header"/>
    </w:pPr>
    <w:sdt>
      <w:sdtPr>
        <w:id w:val="1235809588"/>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27560E"/>
    <w:multiLevelType w:val="hybridMultilevel"/>
    <w:tmpl w:val="E1AAD8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F43F5"/>
    <w:multiLevelType w:val="hybridMultilevel"/>
    <w:tmpl w:val="9542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F3703"/>
    <w:multiLevelType w:val="multilevel"/>
    <w:tmpl w:val="3DD6B1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FA64769"/>
    <w:multiLevelType w:val="hybridMultilevel"/>
    <w:tmpl w:val="7210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90ECE"/>
    <w:multiLevelType w:val="hybridMultilevel"/>
    <w:tmpl w:val="7262A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13CE6"/>
    <w:multiLevelType w:val="hybridMultilevel"/>
    <w:tmpl w:val="FF3E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C68"/>
    <w:rsid w:val="00003976"/>
    <w:rsid w:val="00034FA5"/>
    <w:rsid w:val="00075B55"/>
    <w:rsid w:val="000C10EC"/>
    <w:rsid w:val="000C7EFB"/>
    <w:rsid w:val="000D7739"/>
    <w:rsid w:val="00110E3A"/>
    <w:rsid w:val="00112DC3"/>
    <w:rsid w:val="00172488"/>
    <w:rsid w:val="00191A81"/>
    <w:rsid w:val="00191BDE"/>
    <w:rsid w:val="001C59A2"/>
    <w:rsid w:val="00215977"/>
    <w:rsid w:val="002160CA"/>
    <w:rsid w:val="002952A5"/>
    <w:rsid w:val="002B35DF"/>
    <w:rsid w:val="00333F54"/>
    <w:rsid w:val="0034497B"/>
    <w:rsid w:val="00367DBF"/>
    <w:rsid w:val="00376580"/>
    <w:rsid w:val="003A7F6E"/>
    <w:rsid w:val="0040574F"/>
    <w:rsid w:val="00417AFD"/>
    <w:rsid w:val="00440C50"/>
    <w:rsid w:val="0045531A"/>
    <w:rsid w:val="00497B24"/>
    <w:rsid w:val="004A001A"/>
    <w:rsid w:val="004C41FE"/>
    <w:rsid w:val="004C7245"/>
    <w:rsid w:val="004E6667"/>
    <w:rsid w:val="00514008"/>
    <w:rsid w:val="00564BD4"/>
    <w:rsid w:val="00574DBA"/>
    <w:rsid w:val="00587E8A"/>
    <w:rsid w:val="00596BDF"/>
    <w:rsid w:val="005B65F8"/>
    <w:rsid w:val="005D2CC7"/>
    <w:rsid w:val="0060052C"/>
    <w:rsid w:val="00602E5A"/>
    <w:rsid w:val="00617EF2"/>
    <w:rsid w:val="0064166E"/>
    <w:rsid w:val="006420A7"/>
    <w:rsid w:val="0066316E"/>
    <w:rsid w:val="00663A52"/>
    <w:rsid w:val="00667469"/>
    <w:rsid w:val="006850CB"/>
    <w:rsid w:val="006A4F4C"/>
    <w:rsid w:val="006C2762"/>
    <w:rsid w:val="006F195A"/>
    <w:rsid w:val="00705D9A"/>
    <w:rsid w:val="00717586"/>
    <w:rsid w:val="00754131"/>
    <w:rsid w:val="00755975"/>
    <w:rsid w:val="00763FC0"/>
    <w:rsid w:val="007D547D"/>
    <w:rsid w:val="007D7C2A"/>
    <w:rsid w:val="007E1E90"/>
    <w:rsid w:val="00813032"/>
    <w:rsid w:val="00833AC9"/>
    <w:rsid w:val="00837A3F"/>
    <w:rsid w:val="00867024"/>
    <w:rsid w:val="008722CD"/>
    <w:rsid w:val="00875D46"/>
    <w:rsid w:val="008863D7"/>
    <w:rsid w:val="008A3AB1"/>
    <w:rsid w:val="008B0884"/>
    <w:rsid w:val="008E69C6"/>
    <w:rsid w:val="00912AA1"/>
    <w:rsid w:val="009456CA"/>
    <w:rsid w:val="00967A2C"/>
    <w:rsid w:val="00976634"/>
    <w:rsid w:val="00994296"/>
    <w:rsid w:val="009A3069"/>
    <w:rsid w:val="009C2F8C"/>
    <w:rsid w:val="009E484A"/>
    <w:rsid w:val="009F49D6"/>
    <w:rsid w:val="00A00894"/>
    <w:rsid w:val="00A13491"/>
    <w:rsid w:val="00A15502"/>
    <w:rsid w:val="00A34D4B"/>
    <w:rsid w:val="00A4169C"/>
    <w:rsid w:val="00A43460"/>
    <w:rsid w:val="00A55674"/>
    <w:rsid w:val="00B10170"/>
    <w:rsid w:val="00B2068E"/>
    <w:rsid w:val="00BC09FF"/>
    <w:rsid w:val="00BD1F93"/>
    <w:rsid w:val="00BD7460"/>
    <w:rsid w:val="00BF2E4D"/>
    <w:rsid w:val="00C619D6"/>
    <w:rsid w:val="00C80485"/>
    <w:rsid w:val="00CB6DFB"/>
    <w:rsid w:val="00CC272F"/>
    <w:rsid w:val="00CC2A47"/>
    <w:rsid w:val="00CD2FCC"/>
    <w:rsid w:val="00D105B5"/>
    <w:rsid w:val="00D13320"/>
    <w:rsid w:val="00D2462C"/>
    <w:rsid w:val="00D41C58"/>
    <w:rsid w:val="00D42E29"/>
    <w:rsid w:val="00D71C2F"/>
    <w:rsid w:val="00D82D82"/>
    <w:rsid w:val="00DA4D4E"/>
    <w:rsid w:val="00DC0E51"/>
    <w:rsid w:val="00DF75A0"/>
    <w:rsid w:val="00E12570"/>
    <w:rsid w:val="00E80CDF"/>
    <w:rsid w:val="00EB4B95"/>
    <w:rsid w:val="00EC0450"/>
    <w:rsid w:val="00ED0070"/>
    <w:rsid w:val="00F135DE"/>
    <w:rsid w:val="00F20140"/>
    <w:rsid w:val="00F26F9A"/>
    <w:rsid w:val="00F814BC"/>
    <w:rsid w:val="00FA5F3B"/>
    <w:rsid w:val="00FC0C68"/>
    <w:rsid w:val="00FD7535"/>
    <w:rsid w:val="00FE5F1B"/>
    <w:rsid w:val="00FE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A274F2C-9D23-4AC4-9F81-4865281B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37A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82D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C6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37A3F"/>
    <w:rPr>
      <w:color w:val="0000FF" w:themeColor="hyperlink"/>
      <w:u w:val="single"/>
    </w:rPr>
  </w:style>
  <w:style w:type="character" w:customStyle="1" w:styleId="Heading1Char">
    <w:name w:val="Heading 1 Char"/>
    <w:basedOn w:val="DefaultParagraphFont"/>
    <w:link w:val="Heading1"/>
    <w:uiPriority w:val="9"/>
    <w:rsid w:val="00837A3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67DBF"/>
    <w:pPr>
      <w:spacing w:after="0" w:line="240" w:lineRule="auto"/>
      <w:ind w:left="720"/>
      <w:contextualSpacing/>
    </w:pPr>
    <w:rPr>
      <w:rFonts w:eastAsiaTheme="minorEastAsia"/>
      <w:sz w:val="24"/>
      <w:szCs w:val="24"/>
    </w:rPr>
  </w:style>
  <w:style w:type="paragraph" w:styleId="EndnoteText">
    <w:name w:val="endnote text"/>
    <w:basedOn w:val="Normal"/>
    <w:link w:val="EndnoteTextChar"/>
    <w:uiPriority w:val="99"/>
    <w:unhideWhenUsed/>
    <w:rsid w:val="00A43460"/>
    <w:pPr>
      <w:spacing w:after="0" w:line="240" w:lineRule="auto"/>
    </w:pPr>
    <w:rPr>
      <w:rFonts w:ascii="Arial" w:eastAsia="Calibri" w:hAnsi="Arial" w:cs="Times New Roman"/>
      <w:sz w:val="20"/>
      <w:szCs w:val="20"/>
    </w:rPr>
  </w:style>
  <w:style w:type="character" w:customStyle="1" w:styleId="EndnoteTextChar">
    <w:name w:val="Endnote Text Char"/>
    <w:basedOn w:val="DefaultParagraphFont"/>
    <w:link w:val="EndnoteText"/>
    <w:uiPriority w:val="99"/>
    <w:rsid w:val="00A43460"/>
    <w:rPr>
      <w:rFonts w:ascii="Arial" w:eastAsia="Calibri" w:hAnsi="Arial" w:cs="Times New Roman"/>
      <w:sz w:val="20"/>
      <w:szCs w:val="20"/>
    </w:rPr>
  </w:style>
  <w:style w:type="paragraph" w:styleId="FootnoteText">
    <w:name w:val="footnote text"/>
    <w:basedOn w:val="Normal"/>
    <w:link w:val="FootnoteTextChar"/>
    <w:rsid w:val="00D71C2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71C2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D71C2F"/>
    <w:rPr>
      <w:rFonts w:cs="Times New Roman"/>
      <w:vertAlign w:val="superscript"/>
    </w:rPr>
  </w:style>
  <w:style w:type="paragraph" w:customStyle="1" w:styleId="ColorfulList-Accent11">
    <w:name w:val="Colorful List - Accent 11"/>
    <w:basedOn w:val="Normal"/>
    <w:uiPriority w:val="99"/>
    <w:qFormat/>
    <w:rsid w:val="00D71C2F"/>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71C2F"/>
    <w:rPr>
      <w:color w:val="800080" w:themeColor="followedHyperlink"/>
      <w:u w:val="single"/>
    </w:rPr>
  </w:style>
  <w:style w:type="character" w:customStyle="1" w:styleId="Heading2Char">
    <w:name w:val="Heading 2 Char"/>
    <w:basedOn w:val="DefaultParagraphFont"/>
    <w:link w:val="Heading2"/>
    <w:uiPriority w:val="9"/>
    <w:rsid w:val="00D82D82"/>
    <w:rPr>
      <w:rFonts w:asciiTheme="majorHAnsi" w:eastAsiaTheme="majorEastAsia" w:hAnsiTheme="majorHAnsi" w:cstheme="majorBidi"/>
      <w:color w:val="365F91" w:themeColor="accent1" w:themeShade="BF"/>
      <w:sz w:val="26"/>
      <w:szCs w:val="26"/>
    </w:rPr>
  </w:style>
  <w:style w:type="character" w:styleId="EndnoteReference">
    <w:name w:val="endnote reference"/>
    <w:basedOn w:val="DefaultParagraphFont"/>
    <w:uiPriority w:val="99"/>
    <w:semiHidden/>
    <w:unhideWhenUsed/>
    <w:rsid w:val="006850CB"/>
    <w:rPr>
      <w:vertAlign w:val="superscript"/>
    </w:rPr>
  </w:style>
  <w:style w:type="paragraph" w:styleId="Header">
    <w:name w:val="header"/>
    <w:basedOn w:val="Normal"/>
    <w:link w:val="HeaderChar"/>
    <w:uiPriority w:val="99"/>
    <w:unhideWhenUsed/>
    <w:rsid w:val="00C61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9D6"/>
  </w:style>
  <w:style w:type="paragraph" w:styleId="Footer">
    <w:name w:val="footer"/>
    <w:basedOn w:val="Normal"/>
    <w:link w:val="FooterChar"/>
    <w:uiPriority w:val="99"/>
    <w:unhideWhenUsed/>
    <w:rsid w:val="00C61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9D6"/>
  </w:style>
  <w:style w:type="paragraph" w:styleId="BalloonText">
    <w:name w:val="Balloon Text"/>
    <w:basedOn w:val="Normal"/>
    <w:link w:val="BalloonTextChar"/>
    <w:uiPriority w:val="99"/>
    <w:semiHidden/>
    <w:unhideWhenUsed/>
    <w:rsid w:val="00C61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9D6"/>
    <w:rPr>
      <w:rFonts w:ascii="Tahoma" w:hAnsi="Tahoma" w:cs="Tahoma"/>
      <w:sz w:val="16"/>
      <w:szCs w:val="16"/>
    </w:rPr>
  </w:style>
  <w:style w:type="table" w:styleId="TableGrid">
    <w:name w:val="Table Grid"/>
    <w:basedOn w:val="TableNormal"/>
    <w:uiPriority w:val="39"/>
    <w:rsid w:val="00FA5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97292">
      <w:bodyDiv w:val="1"/>
      <w:marLeft w:val="0"/>
      <w:marRight w:val="0"/>
      <w:marTop w:val="0"/>
      <w:marBottom w:val="0"/>
      <w:divBdr>
        <w:top w:val="none" w:sz="0" w:space="0" w:color="auto"/>
        <w:left w:val="none" w:sz="0" w:space="0" w:color="auto"/>
        <w:bottom w:val="none" w:sz="0" w:space="0" w:color="auto"/>
        <w:right w:val="none" w:sz="0" w:space="0" w:color="auto"/>
      </w:divBdr>
      <w:divsChild>
        <w:div w:id="2022656639">
          <w:marLeft w:val="0"/>
          <w:marRight w:val="0"/>
          <w:marTop w:val="0"/>
          <w:marBottom w:val="0"/>
          <w:divBdr>
            <w:top w:val="none" w:sz="0" w:space="0" w:color="auto"/>
            <w:left w:val="none" w:sz="0" w:space="0" w:color="auto"/>
            <w:bottom w:val="none" w:sz="0" w:space="0" w:color="auto"/>
            <w:right w:val="none" w:sz="0" w:space="0" w:color="auto"/>
          </w:divBdr>
          <w:divsChild>
            <w:div w:id="394282949">
              <w:marLeft w:val="0"/>
              <w:marRight w:val="0"/>
              <w:marTop w:val="0"/>
              <w:marBottom w:val="225"/>
              <w:divBdr>
                <w:top w:val="none" w:sz="0" w:space="0" w:color="auto"/>
                <w:left w:val="none" w:sz="0" w:space="0" w:color="auto"/>
                <w:bottom w:val="none" w:sz="0" w:space="0" w:color="auto"/>
                <w:right w:val="none" w:sz="0" w:space="0" w:color="auto"/>
              </w:divBdr>
              <w:divsChild>
                <w:div w:id="1886527527">
                  <w:marLeft w:val="0"/>
                  <w:marRight w:val="0"/>
                  <w:marTop w:val="0"/>
                  <w:marBottom w:val="0"/>
                  <w:divBdr>
                    <w:top w:val="none" w:sz="0" w:space="0" w:color="auto"/>
                    <w:left w:val="none" w:sz="0" w:space="0" w:color="auto"/>
                    <w:bottom w:val="none" w:sz="0" w:space="0" w:color="auto"/>
                    <w:right w:val="none" w:sz="0" w:space="0" w:color="auto"/>
                  </w:divBdr>
                  <w:divsChild>
                    <w:div w:id="59251069">
                      <w:marLeft w:val="0"/>
                      <w:marRight w:val="0"/>
                      <w:marTop w:val="0"/>
                      <w:marBottom w:val="0"/>
                      <w:divBdr>
                        <w:top w:val="none" w:sz="0" w:space="0" w:color="auto"/>
                        <w:left w:val="none" w:sz="0" w:space="0" w:color="auto"/>
                        <w:bottom w:val="none" w:sz="0" w:space="0" w:color="auto"/>
                        <w:right w:val="none" w:sz="0" w:space="0" w:color="auto"/>
                      </w:divBdr>
                    </w:div>
                    <w:div w:id="1494376718">
                      <w:marLeft w:val="0"/>
                      <w:marRight w:val="0"/>
                      <w:marTop w:val="0"/>
                      <w:marBottom w:val="0"/>
                      <w:divBdr>
                        <w:top w:val="none" w:sz="0" w:space="0" w:color="auto"/>
                        <w:left w:val="none" w:sz="0" w:space="0" w:color="auto"/>
                        <w:bottom w:val="none" w:sz="0" w:space="0" w:color="auto"/>
                        <w:right w:val="none" w:sz="0" w:space="0" w:color="auto"/>
                      </w:divBdr>
                    </w:div>
                    <w:div w:id="19228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61731">
      <w:bodyDiv w:val="1"/>
      <w:marLeft w:val="0"/>
      <w:marRight w:val="0"/>
      <w:marTop w:val="0"/>
      <w:marBottom w:val="0"/>
      <w:divBdr>
        <w:top w:val="none" w:sz="0" w:space="0" w:color="auto"/>
        <w:left w:val="none" w:sz="0" w:space="0" w:color="auto"/>
        <w:bottom w:val="none" w:sz="0" w:space="0" w:color="auto"/>
        <w:right w:val="none" w:sz="0" w:space="0" w:color="auto"/>
      </w:divBdr>
    </w:div>
    <w:div w:id="1106849884">
      <w:bodyDiv w:val="1"/>
      <w:marLeft w:val="0"/>
      <w:marRight w:val="0"/>
      <w:marTop w:val="0"/>
      <w:marBottom w:val="0"/>
      <w:divBdr>
        <w:top w:val="none" w:sz="0" w:space="0" w:color="auto"/>
        <w:left w:val="none" w:sz="0" w:space="0" w:color="auto"/>
        <w:bottom w:val="none" w:sz="0" w:space="0" w:color="auto"/>
        <w:right w:val="none" w:sz="0" w:space="0" w:color="auto"/>
      </w:divBdr>
      <w:divsChild>
        <w:div w:id="584074947">
          <w:marLeft w:val="0"/>
          <w:marRight w:val="0"/>
          <w:marTop w:val="1020"/>
          <w:marBottom w:val="1020"/>
          <w:divBdr>
            <w:top w:val="none" w:sz="0" w:space="0" w:color="auto"/>
            <w:left w:val="none" w:sz="0" w:space="0" w:color="auto"/>
            <w:bottom w:val="none" w:sz="0" w:space="0" w:color="auto"/>
            <w:right w:val="none" w:sz="0" w:space="0" w:color="auto"/>
          </w:divBdr>
          <w:divsChild>
            <w:div w:id="1351251153">
              <w:marLeft w:val="0"/>
              <w:marRight w:val="0"/>
              <w:marTop w:val="0"/>
              <w:marBottom w:val="0"/>
              <w:divBdr>
                <w:top w:val="none" w:sz="0" w:space="0" w:color="auto"/>
                <w:left w:val="none" w:sz="0" w:space="0" w:color="auto"/>
                <w:bottom w:val="none" w:sz="0" w:space="0" w:color="auto"/>
                <w:right w:val="none" w:sz="0" w:space="0" w:color="auto"/>
              </w:divBdr>
              <w:divsChild>
                <w:div w:id="645621402">
                  <w:marLeft w:val="0"/>
                  <w:marRight w:val="0"/>
                  <w:marTop w:val="0"/>
                  <w:marBottom w:val="0"/>
                  <w:divBdr>
                    <w:top w:val="none" w:sz="0" w:space="0" w:color="auto"/>
                    <w:left w:val="none" w:sz="0" w:space="0" w:color="auto"/>
                    <w:bottom w:val="none" w:sz="0" w:space="0" w:color="auto"/>
                    <w:right w:val="none" w:sz="0" w:space="0" w:color="auto"/>
                  </w:divBdr>
                  <w:divsChild>
                    <w:div w:id="1936598376">
                      <w:marLeft w:val="0"/>
                      <w:marRight w:val="0"/>
                      <w:marTop w:val="0"/>
                      <w:marBottom w:val="0"/>
                      <w:divBdr>
                        <w:top w:val="none" w:sz="0" w:space="0" w:color="auto"/>
                        <w:left w:val="none" w:sz="0" w:space="0" w:color="auto"/>
                        <w:bottom w:val="none" w:sz="0" w:space="0" w:color="auto"/>
                        <w:right w:val="none" w:sz="0" w:space="0" w:color="auto"/>
                      </w:divBdr>
                      <w:divsChild>
                        <w:div w:id="838928524">
                          <w:marLeft w:val="0"/>
                          <w:marRight w:val="0"/>
                          <w:marTop w:val="45"/>
                          <w:marBottom w:val="0"/>
                          <w:divBdr>
                            <w:top w:val="none" w:sz="0" w:space="0" w:color="auto"/>
                            <w:left w:val="none" w:sz="0" w:space="0" w:color="auto"/>
                            <w:bottom w:val="none" w:sz="0" w:space="0" w:color="auto"/>
                            <w:right w:val="none" w:sz="0" w:space="0" w:color="auto"/>
                          </w:divBdr>
                          <w:divsChild>
                            <w:div w:id="1145123478">
                              <w:marLeft w:val="0"/>
                              <w:marRight w:val="0"/>
                              <w:marTop w:val="0"/>
                              <w:marBottom w:val="0"/>
                              <w:divBdr>
                                <w:top w:val="none" w:sz="0" w:space="0" w:color="auto"/>
                                <w:left w:val="none" w:sz="0" w:space="0" w:color="auto"/>
                                <w:bottom w:val="none" w:sz="0" w:space="0" w:color="auto"/>
                                <w:right w:val="none" w:sz="0" w:space="0" w:color="auto"/>
                              </w:divBdr>
                              <w:divsChild>
                                <w:div w:id="1848015532">
                                  <w:blockQuote w:val="1"/>
                                  <w:marLeft w:val="0"/>
                                  <w:marRight w:val="72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448123">
      <w:bodyDiv w:val="1"/>
      <w:marLeft w:val="0"/>
      <w:marRight w:val="0"/>
      <w:marTop w:val="0"/>
      <w:marBottom w:val="0"/>
      <w:divBdr>
        <w:top w:val="none" w:sz="0" w:space="0" w:color="auto"/>
        <w:left w:val="none" w:sz="0" w:space="0" w:color="auto"/>
        <w:bottom w:val="none" w:sz="0" w:space="0" w:color="auto"/>
        <w:right w:val="none" w:sz="0" w:space="0" w:color="auto"/>
      </w:divBdr>
    </w:div>
    <w:div w:id="1206138622">
      <w:bodyDiv w:val="1"/>
      <w:marLeft w:val="0"/>
      <w:marRight w:val="0"/>
      <w:marTop w:val="0"/>
      <w:marBottom w:val="0"/>
      <w:divBdr>
        <w:top w:val="none" w:sz="0" w:space="0" w:color="auto"/>
        <w:left w:val="none" w:sz="0" w:space="0" w:color="auto"/>
        <w:bottom w:val="none" w:sz="0" w:space="0" w:color="auto"/>
        <w:right w:val="none" w:sz="0" w:space="0" w:color="auto"/>
      </w:divBdr>
      <w:divsChild>
        <w:div w:id="524368503">
          <w:marLeft w:val="0"/>
          <w:marRight w:val="0"/>
          <w:marTop w:val="0"/>
          <w:marBottom w:val="0"/>
          <w:divBdr>
            <w:top w:val="none" w:sz="0" w:space="0" w:color="auto"/>
            <w:left w:val="none" w:sz="0" w:space="0" w:color="auto"/>
            <w:bottom w:val="none" w:sz="0" w:space="0" w:color="auto"/>
            <w:right w:val="none" w:sz="0" w:space="0" w:color="auto"/>
          </w:divBdr>
        </w:div>
        <w:div w:id="1904824853">
          <w:marLeft w:val="0"/>
          <w:marRight w:val="0"/>
          <w:marTop w:val="0"/>
          <w:marBottom w:val="0"/>
          <w:divBdr>
            <w:top w:val="none" w:sz="0" w:space="0" w:color="auto"/>
            <w:left w:val="none" w:sz="0" w:space="0" w:color="auto"/>
            <w:bottom w:val="none" w:sz="0" w:space="0" w:color="auto"/>
            <w:right w:val="none" w:sz="0" w:space="0" w:color="auto"/>
          </w:divBdr>
        </w:div>
        <w:div w:id="203833234">
          <w:marLeft w:val="0"/>
          <w:marRight w:val="0"/>
          <w:marTop w:val="0"/>
          <w:marBottom w:val="0"/>
          <w:divBdr>
            <w:top w:val="none" w:sz="0" w:space="0" w:color="auto"/>
            <w:left w:val="none" w:sz="0" w:space="0" w:color="auto"/>
            <w:bottom w:val="none" w:sz="0" w:space="0" w:color="auto"/>
            <w:right w:val="none" w:sz="0" w:space="0" w:color="auto"/>
          </w:divBdr>
        </w:div>
        <w:div w:id="1509517565">
          <w:marLeft w:val="0"/>
          <w:marRight w:val="0"/>
          <w:marTop w:val="0"/>
          <w:marBottom w:val="0"/>
          <w:divBdr>
            <w:top w:val="none" w:sz="0" w:space="0" w:color="auto"/>
            <w:left w:val="none" w:sz="0" w:space="0" w:color="auto"/>
            <w:bottom w:val="none" w:sz="0" w:space="0" w:color="auto"/>
            <w:right w:val="none" w:sz="0" w:space="0" w:color="auto"/>
          </w:divBdr>
        </w:div>
        <w:div w:id="1191722982">
          <w:marLeft w:val="0"/>
          <w:marRight w:val="0"/>
          <w:marTop w:val="0"/>
          <w:marBottom w:val="0"/>
          <w:divBdr>
            <w:top w:val="none" w:sz="0" w:space="0" w:color="auto"/>
            <w:left w:val="none" w:sz="0" w:space="0" w:color="auto"/>
            <w:bottom w:val="none" w:sz="0" w:space="0" w:color="auto"/>
            <w:right w:val="none" w:sz="0" w:space="0" w:color="auto"/>
          </w:divBdr>
        </w:div>
        <w:div w:id="1761828252">
          <w:marLeft w:val="0"/>
          <w:marRight w:val="0"/>
          <w:marTop w:val="0"/>
          <w:marBottom w:val="0"/>
          <w:divBdr>
            <w:top w:val="none" w:sz="0" w:space="0" w:color="auto"/>
            <w:left w:val="none" w:sz="0" w:space="0" w:color="auto"/>
            <w:bottom w:val="none" w:sz="0" w:space="0" w:color="auto"/>
            <w:right w:val="none" w:sz="0" w:space="0" w:color="auto"/>
          </w:divBdr>
        </w:div>
        <w:div w:id="1031343620">
          <w:marLeft w:val="0"/>
          <w:marRight w:val="0"/>
          <w:marTop w:val="0"/>
          <w:marBottom w:val="0"/>
          <w:divBdr>
            <w:top w:val="none" w:sz="0" w:space="0" w:color="auto"/>
            <w:left w:val="none" w:sz="0" w:space="0" w:color="auto"/>
            <w:bottom w:val="none" w:sz="0" w:space="0" w:color="auto"/>
            <w:right w:val="none" w:sz="0" w:space="0" w:color="auto"/>
          </w:divBdr>
        </w:div>
        <w:div w:id="934747384">
          <w:marLeft w:val="0"/>
          <w:marRight w:val="0"/>
          <w:marTop w:val="0"/>
          <w:marBottom w:val="0"/>
          <w:divBdr>
            <w:top w:val="none" w:sz="0" w:space="0" w:color="auto"/>
            <w:left w:val="none" w:sz="0" w:space="0" w:color="auto"/>
            <w:bottom w:val="none" w:sz="0" w:space="0" w:color="auto"/>
            <w:right w:val="none" w:sz="0" w:space="0" w:color="auto"/>
          </w:divBdr>
        </w:div>
        <w:div w:id="1551266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doi.org/10.1002/pam.22086" TargetMode="External"/><Relationship Id="rId13" Type="http://schemas.openxmlformats.org/officeDocument/2006/relationships/hyperlink" Target="https://law.duke.edu/childedlaw/docs/School_Vouchers_NC.pdf" TargetMode="External"/><Relationship Id="rId3" Type="http://schemas.openxmlformats.org/officeDocument/2006/relationships/hyperlink" Target="http://ideas.repec.org/a/aea/jeclit/v55y2017i2p441-92.html" TargetMode="External"/><Relationship Id="rId7" Type="http://schemas.openxmlformats.org/officeDocument/2006/relationships/hyperlink" Target="http://www.nber.org/papers/w16056" TargetMode="External"/><Relationship Id="rId12" Type="http://schemas.openxmlformats.org/officeDocument/2006/relationships/hyperlink" Target="http://educationresearchalliancenola.org/files/publications/ERA1706-Policy-Brief-Louisiana-Scholarship-Program-170626.pdf" TargetMode="External"/><Relationship Id="rId2" Type="http://schemas.openxmlformats.org/officeDocument/2006/relationships/hyperlink" Target="https://ncspe.tc.columbia.edu/working-papers/OP111.pdf" TargetMode="External"/><Relationship Id="rId16" Type="http://schemas.openxmlformats.org/officeDocument/2006/relationships/hyperlink" Target="http://legis.wisconsin.gov/lab/reports/12-14full.pdf" TargetMode="External"/><Relationship Id="rId1" Type="http://schemas.openxmlformats.org/officeDocument/2006/relationships/hyperlink" Target="http://epx.sagepub/content/23/1/161.short" TargetMode="External"/><Relationship Id="rId6" Type="http://schemas.openxmlformats.org/officeDocument/2006/relationships/hyperlink" Target="http://www.floridaschoolchoice.org/information/ctc/files/figlio_report_2009.pdf" TargetMode="External"/><Relationship Id="rId11" Type="http://schemas.openxmlformats.org/officeDocument/2006/relationships/hyperlink" Target="http://www.nber.org/papers/w21839" TargetMode="External"/><Relationship Id="rId5" Type="http://schemas.openxmlformats.org/officeDocument/2006/relationships/hyperlink" Target="http://www.floridaschoolchoice.org/pdf/FTC_Research_2010-11_report.pdf" TargetMode="External"/><Relationship Id="rId15" Type="http://schemas.openxmlformats.org/officeDocument/2006/relationships/hyperlink" Target="http://www.ncspe.org/publications_files/OP112.pdf" TargetMode="External"/><Relationship Id="rId10" Type="http://schemas.openxmlformats.org/officeDocument/2006/relationships/hyperlink" Target="http://www.nola.com/education/index.ssf/2014/11/louisiana_voucher_student_perf.html" TargetMode="External"/><Relationship Id="rId4" Type="http://schemas.openxmlformats.org/officeDocument/2006/relationships/hyperlink" Target="https://ies.ed.gov/ncee/pubs/20174022/pdf/20174022.pdf" TargetMode="External"/><Relationship Id="rId9" Type="http://schemas.openxmlformats.org/officeDocument/2006/relationships/hyperlink" Target="http://www.louisianaschools.net/lde/uploads" TargetMode="External"/><Relationship Id="rId14" Type="http://schemas.openxmlformats.org/officeDocument/2006/relationships/hyperlink" Target="http://ceep.indiana.edu/projects/PDF/2006_02_Clev_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C405F03-0AF9-461F-8EE3-5394F0D0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National Education Association</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dc:creator>
  <cp:lastModifiedBy>Brent McKim</cp:lastModifiedBy>
  <cp:revision>2</cp:revision>
  <dcterms:created xsi:type="dcterms:W3CDTF">2019-02-05T20:52:00Z</dcterms:created>
  <dcterms:modified xsi:type="dcterms:W3CDTF">2019-02-05T20:52:00Z</dcterms:modified>
</cp:coreProperties>
</file>